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8804" w14:textId="7BEA25C3" w:rsidR="002B06F2" w:rsidRDefault="00163AB0">
      <w:pPr>
        <w:pStyle w:val="Title"/>
        <w:jc w:val="center"/>
      </w:pPr>
      <w:r>
        <w:rPr>
          <w:rFonts w:ascii="Open Sans" w:hAnsi="Open Sans"/>
          <w:b/>
          <w:color w:val="55565B"/>
          <w:sz w:val="44"/>
        </w:rPr>
        <w:t xml:space="preserve">Guide de soumission des </w:t>
      </w:r>
      <w:r w:rsidR="009211DD">
        <w:rPr>
          <w:rFonts w:ascii="Open Sans" w:hAnsi="Open Sans"/>
          <w:b/>
          <w:color w:val="55565B"/>
          <w:sz w:val="44"/>
        </w:rPr>
        <w:br/>
      </w:r>
      <w:r>
        <w:rPr>
          <w:rFonts w:ascii="Open Sans" w:hAnsi="Open Sans"/>
          <w:b/>
          <w:color w:val="55565B"/>
          <w:sz w:val="44"/>
        </w:rPr>
        <w:t>plans de lotissement</w:t>
      </w:r>
    </w:p>
    <w:p w14:paraId="0B23BD40" w14:textId="75DF432F" w:rsidR="002B06F2" w:rsidRDefault="00163AB0">
      <w:pPr>
        <w:jc w:val="center"/>
        <w:rPr>
          <w:rFonts w:ascii="Open Sans" w:hAnsi="Open Sans" w:cs="Open Sans"/>
          <w:color w:val="55565B"/>
        </w:rPr>
      </w:pPr>
      <w:r>
        <w:rPr>
          <w:rFonts w:ascii="Open Sans" w:hAnsi="Open Sans"/>
          <w:color w:val="55565B"/>
        </w:rPr>
        <w:t>Le présent guide a été créé pour aider les arpenteurs-géomètres à préparer des plans de lotissement. Il peut être soumis à la place d’une lettre d</w:t>
      </w:r>
      <w:r w:rsidR="00857411">
        <w:rPr>
          <w:rFonts w:ascii="Open Sans" w:hAnsi="Open Sans"/>
          <w:color w:val="55565B"/>
        </w:rPr>
        <w:t>’</w:t>
      </w:r>
      <w:r>
        <w:rPr>
          <w:rFonts w:ascii="Open Sans" w:hAnsi="Open Sans"/>
          <w:color w:val="55565B"/>
        </w:rPr>
        <w:t xml:space="preserve">accompagnement. </w:t>
      </w:r>
    </w:p>
    <w:p w14:paraId="751FF1C6" w14:textId="77777777" w:rsidR="002B06F2" w:rsidRDefault="00163AB0">
      <w:pPr>
        <w:pStyle w:val="Heading1"/>
        <w:spacing w:line="240" w:lineRule="auto"/>
        <w:jc w:val="center"/>
        <w:rPr>
          <w:sz w:val="16"/>
          <w:szCs w:val="16"/>
        </w:rPr>
      </w:pPr>
      <w:r>
        <w:rPr>
          <w:rFonts w:ascii="Open Sans" w:hAnsi="Open Sans"/>
          <w:b/>
          <w:color w:val="55565B"/>
          <w:sz w:val="28"/>
        </w:rPr>
        <w:t>Renseignements sur le plan</w:t>
      </w:r>
      <w:r>
        <w:rPr>
          <w:rFonts w:ascii="Open Sans" w:hAnsi="Open Sans"/>
          <w:b/>
          <w:color w:val="55565B"/>
          <w:sz w:val="28"/>
        </w:rPr>
        <w:br/>
      </w:r>
    </w:p>
    <w:tbl>
      <w:tblPr>
        <w:tblW w:w="9350" w:type="dxa"/>
        <w:tblCellMar>
          <w:left w:w="10" w:type="dxa"/>
          <w:right w:w="10" w:type="dxa"/>
        </w:tblCellMar>
        <w:tblLook w:val="04A0" w:firstRow="1" w:lastRow="0" w:firstColumn="1" w:lastColumn="0" w:noHBand="0" w:noVBand="1"/>
      </w:tblPr>
      <w:tblGrid>
        <w:gridCol w:w="2972"/>
        <w:gridCol w:w="6378"/>
      </w:tblGrid>
      <w:tr w:rsidR="002B06F2" w14:paraId="5AC428F6" w14:textId="77777777" w:rsidTr="00F20B3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3B9A" w14:textId="77777777" w:rsidR="002B06F2" w:rsidRDefault="00163AB0" w:rsidP="00F20B33">
            <w:pPr>
              <w:pStyle w:val="Heading2"/>
              <w:spacing w:line="240" w:lineRule="auto"/>
              <w:rPr>
                <w:rFonts w:ascii="Open Sans" w:hAnsi="Open Sans" w:cs="Open Sans"/>
                <w:b/>
                <w:bCs/>
                <w:color w:val="55565B"/>
                <w:sz w:val="24"/>
                <w:szCs w:val="24"/>
              </w:rPr>
            </w:pPr>
            <w:r>
              <w:rPr>
                <w:rFonts w:ascii="Open Sans" w:hAnsi="Open Sans"/>
                <w:b/>
                <w:color w:val="55565B"/>
                <w:sz w:val="24"/>
              </w:rPr>
              <w:t>Votre numéro de dossier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A7AC2" w14:textId="77777777" w:rsidR="002B06F2" w:rsidRDefault="002B06F2" w:rsidP="00F20B33">
            <w:pPr>
              <w:spacing w:after="0" w:line="240" w:lineRule="auto"/>
              <w:rPr>
                <w:rFonts w:ascii="Open Sans" w:hAnsi="Open Sans" w:cs="Open Sans"/>
                <w:color w:val="55565B"/>
                <w:sz w:val="22"/>
                <w:szCs w:val="22"/>
              </w:rPr>
            </w:pPr>
          </w:p>
        </w:tc>
      </w:tr>
      <w:tr w:rsidR="002B06F2" w14:paraId="697F7164" w14:textId="77777777" w:rsidTr="00F20B3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43FF5" w14:textId="462EED49" w:rsidR="002B06F2" w:rsidRDefault="00163AB0" w:rsidP="00F20B33">
            <w:pPr>
              <w:pStyle w:val="Heading2"/>
              <w:spacing w:line="240" w:lineRule="auto"/>
              <w:rPr>
                <w:rFonts w:ascii="Open Sans" w:hAnsi="Open Sans" w:cs="Open Sans"/>
                <w:b/>
                <w:bCs/>
                <w:color w:val="55565B"/>
                <w:sz w:val="24"/>
                <w:szCs w:val="24"/>
              </w:rPr>
            </w:pPr>
            <w:r>
              <w:rPr>
                <w:rFonts w:ascii="Open Sans" w:hAnsi="Open Sans"/>
                <w:b/>
                <w:color w:val="55565B"/>
                <w:sz w:val="24"/>
              </w:rPr>
              <w:t>Numéro de dossier d</w:t>
            </w:r>
            <w:r w:rsidR="00857411">
              <w:rPr>
                <w:rFonts w:ascii="Open Sans" w:hAnsi="Open Sans"/>
                <w:b/>
                <w:color w:val="55565B"/>
                <w:sz w:val="24"/>
              </w:rPr>
              <w:t>’</w:t>
            </w:r>
            <w:r>
              <w:rPr>
                <w:rFonts w:ascii="Open Sans" w:hAnsi="Open Sans"/>
                <w:b/>
                <w:color w:val="55565B"/>
                <w:sz w:val="24"/>
              </w:rPr>
              <w:t>aménagement</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664A2" w14:textId="77777777" w:rsidR="002B06F2" w:rsidRDefault="002B06F2" w:rsidP="00F20B33">
            <w:pPr>
              <w:spacing w:after="0" w:line="240" w:lineRule="auto"/>
              <w:rPr>
                <w:rFonts w:ascii="Open Sans" w:hAnsi="Open Sans" w:cs="Open Sans"/>
                <w:color w:val="55565B"/>
                <w:sz w:val="22"/>
                <w:szCs w:val="22"/>
              </w:rPr>
            </w:pPr>
          </w:p>
        </w:tc>
      </w:tr>
    </w:tbl>
    <w:p w14:paraId="6C50C5F7" w14:textId="77777777" w:rsidR="002B06F2" w:rsidRDefault="00163AB0">
      <w:pPr>
        <w:pStyle w:val="Heading1"/>
        <w:spacing w:line="240" w:lineRule="auto"/>
        <w:jc w:val="center"/>
        <w:rPr>
          <w:sz w:val="16"/>
          <w:szCs w:val="16"/>
        </w:rPr>
      </w:pPr>
      <w:r>
        <w:rPr>
          <w:rFonts w:ascii="Open Sans" w:hAnsi="Open Sans"/>
          <w:b/>
          <w:color w:val="55565B"/>
          <w:sz w:val="28"/>
        </w:rPr>
        <w:t>Exigences en matière de soumission</w:t>
      </w:r>
      <w:r>
        <w:rPr>
          <w:rFonts w:ascii="Open Sans" w:hAnsi="Open Sans"/>
          <w:b/>
          <w:color w:val="55565B"/>
          <w:sz w:val="28"/>
        </w:rPr>
        <w:br/>
      </w:r>
    </w:p>
    <w:tbl>
      <w:tblPr>
        <w:tblW w:w="9350" w:type="dxa"/>
        <w:tblCellMar>
          <w:left w:w="10" w:type="dxa"/>
          <w:right w:w="10" w:type="dxa"/>
        </w:tblCellMar>
        <w:tblLook w:val="04A0" w:firstRow="1" w:lastRow="0" w:firstColumn="1" w:lastColumn="0" w:noHBand="0" w:noVBand="1"/>
      </w:tblPr>
      <w:tblGrid>
        <w:gridCol w:w="2972"/>
        <w:gridCol w:w="6378"/>
      </w:tblGrid>
      <w:tr w:rsidR="00F20B33" w14:paraId="16D731D4" w14:textId="77777777" w:rsidTr="005603D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D644E" w14:textId="5605EC1A" w:rsidR="00F20B33" w:rsidRDefault="00F20B33" w:rsidP="005603D9">
            <w:pPr>
              <w:pStyle w:val="Heading2"/>
              <w:spacing w:line="240" w:lineRule="auto"/>
              <w:rPr>
                <w:rFonts w:ascii="Open Sans" w:hAnsi="Open Sans" w:cs="Open Sans"/>
                <w:b/>
                <w:bCs/>
                <w:color w:val="55565B"/>
                <w:sz w:val="24"/>
                <w:szCs w:val="24"/>
              </w:rPr>
            </w:pPr>
            <w:r>
              <w:rPr>
                <w:rFonts w:ascii="Open Sans" w:hAnsi="Open Sans"/>
                <w:b/>
                <w:color w:val="55565B"/>
                <w:sz w:val="24"/>
              </w:rPr>
              <w:t>Tous les titres électroniques, les titres sur papier et les actes courants concernés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DCE12" w14:textId="77777777" w:rsidR="00F20B33" w:rsidRDefault="00F20B33" w:rsidP="005603D9">
            <w:pPr>
              <w:spacing w:after="0" w:line="240" w:lineRule="auto"/>
              <w:rPr>
                <w:rFonts w:ascii="Open Sans" w:hAnsi="Open Sans" w:cs="Open Sans"/>
                <w:color w:val="55565B"/>
                <w:sz w:val="22"/>
                <w:szCs w:val="22"/>
              </w:rPr>
            </w:pPr>
          </w:p>
        </w:tc>
      </w:tr>
    </w:tbl>
    <w:tbl>
      <w:tblPr>
        <w:tblW w:w="9475" w:type="dxa"/>
        <w:tblInd w:w="-113" w:type="dxa"/>
        <w:tblLayout w:type="fixed"/>
        <w:tblCellMar>
          <w:left w:w="10" w:type="dxa"/>
          <w:right w:w="10" w:type="dxa"/>
        </w:tblCellMar>
        <w:tblLook w:val="04A0" w:firstRow="1" w:lastRow="0" w:firstColumn="1" w:lastColumn="0" w:noHBand="0" w:noVBand="1"/>
      </w:tblPr>
      <w:tblGrid>
        <w:gridCol w:w="42"/>
        <w:gridCol w:w="4659"/>
        <w:gridCol w:w="4661"/>
        <w:gridCol w:w="113"/>
      </w:tblGrid>
      <w:tr w:rsidR="002B06F2" w14:paraId="2F75AE59" w14:textId="77777777" w:rsidTr="00F20B33">
        <w:tc>
          <w:tcPr>
            <w:tcW w:w="41" w:type="dxa"/>
          </w:tcPr>
          <w:p w14:paraId="1B164C7B" w14:textId="77777777" w:rsidR="002B06F2" w:rsidRDefault="002B06F2">
            <w:pPr>
              <w:pStyle w:val="ListParagraph"/>
              <w:spacing w:after="0" w:line="240" w:lineRule="auto"/>
              <w:ind w:left="360"/>
              <w:rPr>
                <w:rFonts w:ascii="Open Sans" w:hAnsi="Open Sans" w:cs="Open Sans"/>
                <w:color w:val="55565B"/>
                <w:sz w:val="20"/>
                <w:szCs w:val="20"/>
              </w:rPr>
            </w:pPr>
          </w:p>
        </w:tc>
        <w:tc>
          <w:tcPr>
            <w:tcW w:w="9429" w:type="dxa"/>
            <w:gridSpan w:val="3"/>
            <w:tcMar>
              <w:top w:w="0" w:type="dxa"/>
              <w:left w:w="108" w:type="dxa"/>
              <w:bottom w:w="0" w:type="dxa"/>
              <w:right w:w="108" w:type="dxa"/>
            </w:tcMar>
          </w:tcPr>
          <w:p w14:paraId="4180DD2E" w14:textId="77777777" w:rsidR="002B06F2" w:rsidRDefault="002B06F2">
            <w:pPr>
              <w:pStyle w:val="ListParagraph"/>
              <w:spacing w:after="0" w:line="240" w:lineRule="auto"/>
              <w:ind w:left="360"/>
              <w:rPr>
                <w:rFonts w:ascii="Open Sans" w:hAnsi="Open Sans" w:cs="Open Sans"/>
                <w:color w:val="55565B"/>
                <w:sz w:val="20"/>
                <w:szCs w:val="20"/>
              </w:rPr>
            </w:pPr>
          </w:p>
          <w:p w14:paraId="07B20707" w14:textId="59890CC0" w:rsidR="002B06F2" w:rsidRDefault="00163AB0">
            <w:pPr>
              <w:pStyle w:val="ListParagraph"/>
              <w:numPr>
                <w:ilvl w:val="0"/>
                <w:numId w:val="1"/>
              </w:numPr>
              <w:spacing w:after="0" w:line="240" w:lineRule="auto"/>
              <w:rPr>
                <w:rFonts w:ascii="Open Sans" w:hAnsi="Open Sans" w:cs="Open Sans"/>
                <w:color w:val="55565B"/>
                <w:sz w:val="20"/>
                <w:szCs w:val="20"/>
              </w:rPr>
            </w:pPr>
            <w:r>
              <w:rPr>
                <w:rFonts w:ascii="Open Sans" w:hAnsi="Open Sans"/>
                <w:color w:val="55565B"/>
                <w:sz w:val="20"/>
              </w:rPr>
              <w:t>Des copies des actes ou des titres sur papier sont joint</w:t>
            </w:r>
            <w:r w:rsidR="0014742F">
              <w:rPr>
                <w:rFonts w:ascii="Open Sans" w:hAnsi="Open Sans"/>
                <w:color w:val="55565B"/>
                <w:sz w:val="20"/>
              </w:rPr>
              <w:t>e</w:t>
            </w:r>
            <w:r>
              <w:rPr>
                <w:rFonts w:ascii="Open Sans" w:hAnsi="Open Sans"/>
                <w:color w:val="55565B"/>
                <w:sz w:val="20"/>
              </w:rPr>
              <w:t xml:space="preserve">s.   </w:t>
            </w:r>
          </w:p>
          <w:p w14:paraId="53C45ECD" w14:textId="77777777" w:rsidR="002B06F2" w:rsidRDefault="002B06F2">
            <w:pPr>
              <w:pStyle w:val="ListParagraph"/>
              <w:spacing w:after="0" w:line="240" w:lineRule="auto"/>
              <w:rPr>
                <w:rFonts w:ascii="Open Sans" w:hAnsi="Open Sans" w:cs="Open Sans"/>
                <w:color w:val="55565B"/>
                <w:sz w:val="20"/>
                <w:szCs w:val="20"/>
              </w:rPr>
            </w:pPr>
          </w:p>
        </w:tc>
      </w:tr>
      <w:tr w:rsidR="002B06F2" w14:paraId="39F19483" w14:textId="77777777" w:rsidTr="00F20B33">
        <w:tc>
          <w:tcPr>
            <w:tcW w:w="4698" w:type="dxa"/>
            <w:gridSpan w:val="2"/>
            <w:tcMar>
              <w:top w:w="0" w:type="dxa"/>
              <w:left w:w="108" w:type="dxa"/>
              <w:bottom w:w="0" w:type="dxa"/>
              <w:right w:w="108" w:type="dxa"/>
            </w:tcMar>
          </w:tcPr>
          <w:p w14:paraId="50AE57EF" w14:textId="0CD6FA3F" w:rsidR="002B06F2" w:rsidRDefault="00550C32">
            <w:pPr>
              <w:pStyle w:val="ListParagraph"/>
              <w:numPr>
                <w:ilvl w:val="0"/>
                <w:numId w:val="2"/>
              </w:numPr>
              <w:spacing w:after="0" w:line="240" w:lineRule="auto"/>
              <w:rPr>
                <w:rFonts w:ascii="Open Sans" w:hAnsi="Open Sans" w:cs="Open Sans"/>
                <w:color w:val="55565B"/>
                <w:sz w:val="20"/>
                <w:szCs w:val="20"/>
              </w:rPr>
            </w:pPr>
            <w:r>
              <w:rPr>
                <w:rFonts w:ascii="Open Sans" w:hAnsi="Open Sans"/>
                <w:color w:val="55565B"/>
                <w:sz w:val="20"/>
              </w:rPr>
              <w:t>Un croquis cadastral du titre est joint (plus d</w:t>
            </w:r>
            <w:r w:rsidR="00857411">
              <w:rPr>
                <w:rFonts w:ascii="Open Sans" w:hAnsi="Open Sans"/>
                <w:color w:val="55565B"/>
                <w:sz w:val="20"/>
              </w:rPr>
              <w:t>’</w:t>
            </w:r>
            <w:r>
              <w:rPr>
                <w:rFonts w:ascii="Open Sans" w:hAnsi="Open Sans"/>
                <w:color w:val="55565B"/>
                <w:sz w:val="20"/>
              </w:rPr>
              <w:t>un titre ou d’un acte est concerné).</w:t>
            </w:r>
          </w:p>
        </w:tc>
        <w:tc>
          <w:tcPr>
            <w:tcW w:w="4659" w:type="dxa"/>
            <w:tcMar>
              <w:top w:w="0" w:type="dxa"/>
              <w:left w:w="108" w:type="dxa"/>
              <w:bottom w:w="0" w:type="dxa"/>
              <w:right w:w="108" w:type="dxa"/>
            </w:tcMar>
          </w:tcPr>
          <w:p w14:paraId="4B70503A" w14:textId="5F77C697" w:rsidR="002B06F2" w:rsidRDefault="00550C32">
            <w:pPr>
              <w:pStyle w:val="ListParagraph"/>
              <w:numPr>
                <w:ilvl w:val="0"/>
                <w:numId w:val="3"/>
              </w:numPr>
              <w:spacing w:after="0" w:line="240" w:lineRule="auto"/>
              <w:rPr>
                <w:rFonts w:ascii="Open Sans" w:hAnsi="Open Sans" w:cs="Open Sans"/>
                <w:color w:val="55565B"/>
                <w:sz w:val="20"/>
                <w:szCs w:val="20"/>
              </w:rPr>
            </w:pPr>
            <w:r>
              <w:rPr>
                <w:rFonts w:ascii="Open Sans" w:hAnsi="Open Sans"/>
                <w:color w:val="55565B"/>
                <w:sz w:val="20"/>
              </w:rPr>
              <w:t>Un croquis cadastral du titre n</w:t>
            </w:r>
            <w:r w:rsidR="00857411">
              <w:rPr>
                <w:rFonts w:ascii="Open Sans" w:hAnsi="Open Sans"/>
                <w:color w:val="55565B"/>
                <w:sz w:val="20"/>
              </w:rPr>
              <w:t>’</w:t>
            </w:r>
            <w:r>
              <w:rPr>
                <w:rFonts w:ascii="Open Sans" w:hAnsi="Open Sans"/>
                <w:color w:val="55565B"/>
                <w:sz w:val="20"/>
              </w:rPr>
              <w:t>est pas nécessaire (un seul titre ou acte est concerné).</w:t>
            </w:r>
          </w:p>
          <w:p w14:paraId="2EC2AA32" w14:textId="77777777" w:rsidR="002B06F2" w:rsidRDefault="002B06F2">
            <w:pPr>
              <w:spacing w:after="0" w:line="240" w:lineRule="auto"/>
              <w:rPr>
                <w:rFonts w:ascii="Open Sans" w:hAnsi="Open Sans" w:cs="Open Sans"/>
                <w:color w:val="55565B"/>
                <w:sz w:val="20"/>
                <w:szCs w:val="20"/>
              </w:rPr>
            </w:pPr>
          </w:p>
        </w:tc>
        <w:tc>
          <w:tcPr>
            <w:tcW w:w="113" w:type="dxa"/>
          </w:tcPr>
          <w:p w14:paraId="7D0813EE" w14:textId="77777777" w:rsidR="002B06F2" w:rsidRDefault="002B06F2">
            <w:pPr>
              <w:spacing w:after="0" w:line="240" w:lineRule="auto"/>
              <w:rPr>
                <w:rFonts w:ascii="Open Sans" w:hAnsi="Open Sans" w:cs="Open Sans"/>
                <w:color w:val="55565B"/>
                <w:sz w:val="20"/>
                <w:szCs w:val="20"/>
              </w:rPr>
            </w:pPr>
          </w:p>
        </w:tc>
      </w:tr>
      <w:tr w:rsidR="002B06F2" w14:paraId="5A536D33" w14:textId="77777777" w:rsidTr="00F20B33">
        <w:tc>
          <w:tcPr>
            <w:tcW w:w="4698" w:type="dxa"/>
            <w:gridSpan w:val="2"/>
            <w:tcMar>
              <w:top w:w="0" w:type="dxa"/>
              <w:left w:w="108" w:type="dxa"/>
              <w:bottom w:w="0" w:type="dxa"/>
              <w:right w:w="108" w:type="dxa"/>
            </w:tcMar>
          </w:tcPr>
          <w:p w14:paraId="03DB3398" w14:textId="46151BDB" w:rsidR="002B06F2" w:rsidRDefault="00550C32">
            <w:pPr>
              <w:pStyle w:val="ListParagraph"/>
              <w:numPr>
                <w:ilvl w:val="0"/>
                <w:numId w:val="2"/>
              </w:numPr>
              <w:spacing w:after="0" w:line="240" w:lineRule="auto"/>
              <w:rPr>
                <w:rFonts w:ascii="Open Sans" w:hAnsi="Open Sans" w:cs="Open Sans"/>
                <w:color w:val="55565B"/>
                <w:sz w:val="20"/>
                <w:szCs w:val="20"/>
              </w:rPr>
            </w:pPr>
            <w:r>
              <w:rPr>
                <w:rFonts w:ascii="Open Sans" w:hAnsi="Open Sans"/>
                <w:color w:val="55565B"/>
                <w:sz w:val="20"/>
              </w:rPr>
              <w:t>La limite naturelle est concernée. Un rapport sur la ligne ordinaire des hautes eaux est inclus.</w:t>
            </w:r>
          </w:p>
          <w:p w14:paraId="0B570512" w14:textId="77777777" w:rsidR="002B06F2" w:rsidRDefault="002B06F2">
            <w:pPr>
              <w:spacing w:after="0" w:line="240" w:lineRule="auto"/>
              <w:rPr>
                <w:rFonts w:ascii="Open Sans" w:hAnsi="Open Sans" w:cs="Open Sans"/>
                <w:color w:val="55565B"/>
                <w:sz w:val="20"/>
                <w:szCs w:val="20"/>
              </w:rPr>
            </w:pPr>
          </w:p>
        </w:tc>
        <w:tc>
          <w:tcPr>
            <w:tcW w:w="4659" w:type="dxa"/>
            <w:tcMar>
              <w:top w:w="0" w:type="dxa"/>
              <w:left w:w="108" w:type="dxa"/>
              <w:bottom w:w="0" w:type="dxa"/>
              <w:right w:w="108" w:type="dxa"/>
            </w:tcMar>
          </w:tcPr>
          <w:p w14:paraId="246A3585" w14:textId="1C808A13" w:rsidR="002B06F2" w:rsidRDefault="00550C32">
            <w:pPr>
              <w:pStyle w:val="ListParagraph"/>
              <w:numPr>
                <w:ilvl w:val="0"/>
                <w:numId w:val="3"/>
              </w:numPr>
              <w:spacing w:after="0" w:line="240" w:lineRule="auto"/>
              <w:rPr>
                <w:rFonts w:ascii="Open Sans" w:hAnsi="Open Sans" w:cs="Open Sans"/>
                <w:color w:val="55565B"/>
                <w:sz w:val="20"/>
                <w:szCs w:val="20"/>
              </w:rPr>
            </w:pPr>
            <w:r>
              <w:rPr>
                <w:rFonts w:ascii="Open Sans" w:hAnsi="Open Sans"/>
                <w:color w:val="55565B"/>
                <w:sz w:val="20"/>
              </w:rPr>
              <w:t>La limite naturelle n</w:t>
            </w:r>
            <w:r w:rsidR="00857411">
              <w:rPr>
                <w:rFonts w:ascii="Open Sans" w:hAnsi="Open Sans"/>
                <w:color w:val="55565B"/>
                <w:sz w:val="20"/>
              </w:rPr>
              <w:t>’</w:t>
            </w:r>
            <w:r>
              <w:rPr>
                <w:rFonts w:ascii="Open Sans" w:hAnsi="Open Sans"/>
                <w:color w:val="55565B"/>
                <w:sz w:val="20"/>
              </w:rPr>
              <w:t>est pas concernée.</w:t>
            </w:r>
          </w:p>
        </w:tc>
        <w:tc>
          <w:tcPr>
            <w:tcW w:w="113" w:type="dxa"/>
          </w:tcPr>
          <w:p w14:paraId="1993E8B7" w14:textId="77777777" w:rsidR="002B06F2" w:rsidRDefault="002B06F2">
            <w:pPr>
              <w:pStyle w:val="ListParagraph"/>
              <w:spacing w:after="0" w:line="240" w:lineRule="auto"/>
              <w:rPr>
                <w:rFonts w:ascii="Open Sans" w:hAnsi="Open Sans" w:cs="Open Sans"/>
                <w:color w:val="55565B"/>
                <w:sz w:val="20"/>
                <w:szCs w:val="20"/>
              </w:rPr>
            </w:pPr>
          </w:p>
        </w:tc>
      </w:tr>
      <w:tr w:rsidR="002B06F2" w14:paraId="2E5AA48C" w14:textId="77777777" w:rsidTr="00F20B33">
        <w:tc>
          <w:tcPr>
            <w:tcW w:w="4698" w:type="dxa"/>
            <w:gridSpan w:val="2"/>
            <w:tcMar>
              <w:top w:w="0" w:type="dxa"/>
              <w:left w:w="108" w:type="dxa"/>
              <w:bottom w:w="0" w:type="dxa"/>
              <w:right w:w="108" w:type="dxa"/>
            </w:tcMar>
          </w:tcPr>
          <w:p w14:paraId="29FDCBCE" w14:textId="4E8409F3" w:rsidR="006457D0" w:rsidRPr="006457D0" w:rsidRDefault="006457D0" w:rsidP="006457D0">
            <w:pPr>
              <w:pStyle w:val="ListParagraph"/>
              <w:numPr>
                <w:ilvl w:val="0"/>
                <w:numId w:val="24"/>
              </w:numPr>
              <w:spacing w:after="0" w:line="240" w:lineRule="auto"/>
              <w:rPr>
                <w:rFonts w:ascii="Open Sans" w:hAnsi="Open Sans" w:cs="Open Sans"/>
                <w:color w:val="55565B"/>
                <w:sz w:val="20"/>
                <w:szCs w:val="20"/>
              </w:rPr>
            </w:pPr>
            <w:r>
              <w:rPr>
                <w:rFonts w:ascii="Open Sans" w:hAnsi="Open Sans"/>
                <w:color w:val="55565B"/>
                <w:sz w:val="20"/>
              </w:rPr>
              <w:t xml:space="preserve">Les lots créés font l’objet de réserves uniformes ou ne font l’objet d’aucune réserve.  </w:t>
            </w:r>
          </w:p>
          <w:p w14:paraId="4D912A9F" w14:textId="0724CDF4" w:rsidR="002B06F2" w:rsidRPr="006457D0" w:rsidRDefault="00163AB0" w:rsidP="006457D0">
            <w:pPr>
              <w:spacing w:after="0" w:line="240" w:lineRule="auto"/>
              <w:rPr>
                <w:rFonts w:ascii="Open Sans" w:hAnsi="Open Sans" w:cs="Open Sans"/>
                <w:color w:val="55565B"/>
                <w:sz w:val="20"/>
                <w:szCs w:val="20"/>
              </w:rPr>
            </w:pPr>
            <w:r>
              <w:rPr>
                <w:rFonts w:ascii="Open Sans" w:hAnsi="Open Sans"/>
                <w:color w:val="55565B"/>
                <w:sz w:val="20"/>
              </w:rPr>
              <w:br/>
            </w:r>
          </w:p>
        </w:tc>
        <w:tc>
          <w:tcPr>
            <w:tcW w:w="4659" w:type="dxa"/>
            <w:tcMar>
              <w:top w:w="0" w:type="dxa"/>
              <w:left w:w="108" w:type="dxa"/>
              <w:bottom w:w="0" w:type="dxa"/>
              <w:right w:w="108" w:type="dxa"/>
            </w:tcMar>
          </w:tcPr>
          <w:p w14:paraId="00E830B8" w14:textId="6AAC1968" w:rsidR="002B06F2" w:rsidRPr="006457D0" w:rsidRDefault="006457D0">
            <w:pPr>
              <w:pStyle w:val="ListParagraph"/>
              <w:numPr>
                <w:ilvl w:val="0"/>
                <w:numId w:val="3"/>
              </w:numPr>
              <w:spacing w:after="0" w:line="240" w:lineRule="auto"/>
            </w:pPr>
            <w:r>
              <w:rPr>
                <w:rFonts w:ascii="Open Sans" w:hAnsi="Open Sans"/>
                <w:color w:val="55565B"/>
                <w:sz w:val="20"/>
              </w:rPr>
              <w:t>Les lots créés font l’objet de différentes réserves s</w:t>
            </w:r>
            <w:r w:rsidR="00BB1B23">
              <w:rPr>
                <w:rFonts w:ascii="Open Sans" w:hAnsi="Open Sans"/>
                <w:color w:val="55565B"/>
                <w:sz w:val="20"/>
              </w:rPr>
              <w:t>’</w:t>
            </w:r>
            <w:r>
              <w:rPr>
                <w:rFonts w:ascii="Open Sans" w:hAnsi="Open Sans"/>
                <w:color w:val="55565B"/>
                <w:sz w:val="20"/>
              </w:rPr>
              <w:t>appliquant à différentes parties du lot, et un plan d</w:t>
            </w:r>
            <w:r w:rsidR="00BB1B23">
              <w:rPr>
                <w:rFonts w:ascii="Open Sans" w:hAnsi="Open Sans"/>
                <w:color w:val="55565B"/>
                <w:sz w:val="20"/>
              </w:rPr>
              <w:t>’</w:t>
            </w:r>
            <w:r>
              <w:rPr>
                <w:rFonts w:ascii="Open Sans" w:hAnsi="Open Sans"/>
                <w:color w:val="55565B"/>
                <w:sz w:val="20"/>
              </w:rPr>
              <w:t>arpentage n</w:t>
            </w:r>
            <w:r w:rsidR="00BB1B23">
              <w:rPr>
                <w:rFonts w:ascii="Open Sans" w:hAnsi="Open Sans"/>
                <w:color w:val="55565B"/>
                <w:sz w:val="20"/>
              </w:rPr>
              <w:t>’</w:t>
            </w:r>
            <w:r>
              <w:rPr>
                <w:rFonts w:ascii="Open Sans" w:hAnsi="Open Sans"/>
                <w:color w:val="55565B"/>
                <w:sz w:val="20"/>
              </w:rPr>
              <w:t>est pas créé pour la raison suivante : _________________________________________</w:t>
            </w:r>
          </w:p>
          <w:p w14:paraId="551D0195" w14:textId="2A0C42FA" w:rsidR="006457D0" w:rsidRDefault="006457D0" w:rsidP="006457D0">
            <w:pPr>
              <w:pStyle w:val="ListParagraph"/>
              <w:spacing w:after="0" w:line="240" w:lineRule="auto"/>
            </w:pPr>
          </w:p>
        </w:tc>
        <w:tc>
          <w:tcPr>
            <w:tcW w:w="113" w:type="dxa"/>
          </w:tcPr>
          <w:p w14:paraId="54D29994" w14:textId="77777777" w:rsidR="002B06F2" w:rsidRDefault="002B06F2">
            <w:pPr>
              <w:pStyle w:val="ListParagraph"/>
              <w:spacing w:after="0" w:line="240" w:lineRule="auto"/>
            </w:pPr>
          </w:p>
        </w:tc>
      </w:tr>
      <w:tr w:rsidR="002B06F2" w14:paraId="14C9B35B" w14:textId="77777777" w:rsidTr="00F20B33">
        <w:trPr>
          <w:trHeight w:val="165"/>
        </w:trPr>
        <w:tc>
          <w:tcPr>
            <w:tcW w:w="4698" w:type="dxa"/>
            <w:gridSpan w:val="2"/>
            <w:tcMar>
              <w:top w:w="0" w:type="dxa"/>
              <w:left w:w="108" w:type="dxa"/>
              <w:bottom w:w="0" w:type="dxa"/>
              <w:right w:w="108" w:type="dxa"/>
            </w:tcMar>
          </w:tcPr>
          <w:p w14:paraId="66676A45" w14:textId="33722FFC" w:rsidR="002B06F2" w:rsidRDefault="00163AB0">
            <w:pPr>
              <w:pStyle w:val="ListParagraph"/>
              <w:numPr>
                <w:ilvl w:val="0"/>
                <w:numId w:val="2"/>
              </w:numPr>
              <w:spacing w:after="0" w:line="240" w:lineRule="auto"/>
              <w:rPr>
                <w:rFonts w:ascii="Open Sans" w:hAnsi="Open Sans" w:cs="Open Sans"/>
                <w:color w:val="55565B"/>
                <w:sz w:val="20"/>
                <w:szCs w:val="20"/>
              </w:rPr>
            </w:pPr>
            <w:r>
              <w:rPr>
                <w:rFonts w:ascii="Open Sans" w:hAnsi="Open Sans"/>
                <w:color w:val="55565B"/>
                <w:sz w:val="20"/>
              </w:rPr>
              <w:t>La ou les bornes sont rétablies ou remises en état. Le rapport est joint.</w:t>
            </w:r>
          </w:p>
        </w:tc>
        <w:tc>
          <w:tcPr>
            <w:tcW w:w="4659" w:type="dxa"/>
            <w:tcMar>
              <w:top w:w="0" w:type="dxa"/>
              <w:left w:w="108" w:type="dxa"/>
              <w:bottom w:w="0" w:type="dxa"/>
              <w:right w:w="108" w:type="dxa"/>
            </w:tcMar>
          </w:tcPr>
          <w:p w14:paraId="2864C9FC" w14:textId="77777777" w:rsidR="002B06F2" w:rsidRDefault="00163AB0">
            <w:pPr>
              <w:pStyle w:val="ListParagraph"/>
              <w:numPr>
                <w:ilvl w:val="0"/>
                <w:numId w:val="3"/>
              </w:numPr>
              <w:spacing w:after="0" w:line="240" w:lineRule="auto"/>
              <w:rPr>
                <w:rFonts w:ascii="Open Sans" w:hAnsi="Open Sans" w:cs="Open Sans"/>
                <w:color w:val="55565B"/>
                <w:sz w:val="20"/>
                <w:szCs w:val="20"/>
              </w:rPr>
            </w:pPr>
            <w:r>
              <w:rPr>
                <w:rFonts w:ascii="Open Sans" w:hAnsi="Open Sans"/>
                <w:color w:val="55565B"/>
                <w:sz w:val="20"/>
              </w:rPr>
              <w:t>Aucune borne n’est rétablie ou remise en état.</w:t>
            </w:r>
          </w:p>
        </w:tc>
        <w:tc>
          <w:tcPr>
            <w:tcW w:w="113" w:type="dxa"/>
          </w:tcPr>
          <w:p w14:paraId="3DA5981F" w14:textId="77777777" w:rsidR="002B06F2" w:rsidRDefault="002B06F2">
            <w:pPr>
              <w:pStyle w:val="ListParagraph"/>
              <w:spacing w:after="0" w:line="240" w:lineRule="auto"/>
              <w:rPr>
                <w:rFonts w:ascii="Open Sans" w:hAnsi="Open Sans" w:cs="Open Sans"/>
                <w:color w:val="55565B"/>
                <w:sz w:val="20"/>
                <w:szCs w:val="20"/>
              </w:rPr>
            </w:pPr>
          </w:p>
        </w:tc>
      </w:tr>
    </w:tbl>
    <w:p w14:paraId="18F27896" w14:textId="77777777" w:rsidR="002B06F2" w:rsidRPr="00F20B33" w:rsidRDefault="00163AB0">
      <w:pPr>
        <w:pStyle w:val="Heading1"/>
        <w:spacing w:line="240" w:lineRule="auto"/>
        <w:jc w:val="center"/>
        <w:rPr>
          <w:sz w:val="16"/>
          <w:szCs w:val="16"/>
        </w:rPr>
      </w:pPr>
      <w:r>
        <w:rPr>
          <w:rFonts w:ascii="Open Sans" w:hAnsi="Open Sans"/>
          <w:b/>
          <w:color w:val="55565B"/>
          <w:sz w:val="28"/>
        </w:rPr>
        <w:t xml:space="preserve">Notes complémentaires </w:t>
      </w:r>
      <w:r>
        <w:rPr>
          <w:rFonts w:ascii="Open Sans" w:hAnsi="Open Sans"/>
          <w:b/>
          <w:color w:val="55565B"/>
          <w:sz w:val="28"/>
        </w:rPr>
        <w:br/>
      </w:r>
    </w:p>
    <w:tbl>
      <w:tblPr>
        <w:tblW w:w="9350" w:type="dxa"/>
        <w:tblCellMar>
          <w:left w:w="10" w:type="dxa"/>
          <w:right w:w="10" w:type="dxa"/>
        </w:tblCellMar>
        <w:tblLook w:val="04A0" w:firstRow="1" w:lastRow="0" w:firstColumn="1" w:lastColumn="0" w:noHBand="0" w:noVBand="1"/>
      </w:tblPr>
      <w:tblGrid>
        <w:gridCol w:w="9350"/>
      </w:tblGrid>
      <w:tr w:rsidR="002B06F2" w14:paraId="503CF7C7" w14:textId="77777777">
        <w:trPr>
          <w:trHeight w:val="5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3079" w14:textId="16CBDEB7" w:rsidR="002B06F2" w:rsidRDefault="00163AB0">
            <w:pPr>
              <w:spacing w:after="0" w:line="240" w:lineRule="auto"/>
              <w:rPr>
                <w:rFonts w:ascii="Open Sans" w:hAnsi="Open Sans" w:cs="Open Sans"/>
                <w:color w:val="55565B"/>
                <w:sz w:val="20"/>
                <w:szCs w:val="20"/>
              </w:rPr>
            </w:pPr>
            <w:r>
              <w:rPr>
                <w:rFonts w:ascii="Open Sans" w:hAnsi="Open Sans"/>
                <w:color w:val="55565B"/>
                <w:sz w:val="20"/>
              </w:rPr>
              <w:t>Dresser la liste de tous les écarts par rapport à la demande d’aménagement et aux instructions relatives aux arpentages et aux plans (ISP), ainsi que de tous les problèmes rencontrés en matière d’arpentage, le cas échéant :</w:t>
            </w:r>
          </w:p>
          <w:p w14:paraId="7AE29C51" w14:textId="77777777" w:rsidR="00F20B33" w:rsidRDefault="00F20B33">
            <w:pPr>
              <w:spacing w:after="0" w:line="240" w:lineRule="auto"/>
              <w:rPr>
                <w:rFonts w:ascii="Open Sans" w:hAnsi="Open Sans" w:cs="Open Sans"/>
                <w:sz w:val="20"/>
                <w:szCs w:val="20"/>
              </w:rPr>
            </w:pPr>
          </w:p>
          <w:p w14:paraId="14043C9B" w14:textId="77777777" w:rsidR="002B06F2" w:rsidRDefault="002B06F2">
            <w:pPr>
              <w:spacing w:after="0" w:line="240" w:lineRule="auto"/>
              <w:rPr>
                <w:rFonts w:ascii="Open Sans" w:hAnsi="Open Sans" w:cs="Open Sans"/>
                <w:sz w:val="22"/>
                <w:szCs w:val="22"/>
              </w:rPr>
            </w:pPr>
          </w:p>
          <w:p w14:paraId="4910454B" w14:textId="77777777" w:rsidR="009211DD" w:rsidRDefault="009211DD">
            <w:pPr>
              <w:spacing w:after="0" w:line="240" w:lineRule="auto"/>
              <w:rPr>
                <w:rFonts w:ascii="Open Sans" w:hAnsi="Open Sans" w:cs="Open Sans"/>
                <w:sz w:val="22"/>
                <w:szCs w:val="22"/>
              </w:rPr>
            </w:pPr>
          </w:p>
          <w:p w14:paraId="0195B033" w14:textId="77777777" w:rsidR="002B06F2" w:rsidRDefault="002B06F2">
            <w:pPr>
              <w:spacing w:after="0" w:line="240" w:lineRule="auto"/>
              <w:rPr>
                <w:rFonts w:ascii="Open Sans" w:hAnsi="Open Sans" w:cs="Open Sans"/>
                <w:sz w:val="22"/>
                <w:szCs w:val="22"/>
              </w:rPr>
            </w:pPr>
          </w:p>
          <w:p w14:paraId="6695363E" w14:textId="77777777" w:rsidR="002B06F2" w:rsidRDefault="002B06F2">
            <w:pPr>
              <w:spacing w:after="0" w:line="240" w:lineRule="auto"/>
              <w:rPr>
                <w:rFonts w:ascii="Open Sans" w:hAnsi="Open Sans" w:cs="Open Sans"/>
                <w:sz w:val="22"/>
                <w:szCs w:val="22"/>
              </w:rPr>
            </w:pPr>
          </w:p>
          <w:p w14:paraId="054EDEB1" w14:textId="77777777" w:rsidR="002B06F2" w:rsidRDefault="002B06F2">
            <w:pPr>
              <w:spacing w:after="0" w:line="240" w:lineRule="auto"/>
              <w:rPr>
                <w:rFonts w:ascii="Open Sans" w:hAnsi="Open Sans" w:cs="Open Sans"/>
                <w:sz w:val="22"/>
                <w:szCs w:val="22"/>
              </w:rPr>
            </w:pPr>
          </w:p>
          <w:p w14:paraId="16049D38" w14:textId="77777777" w:rsidR="00F20B33" w:rsidRDefault="00F20B33">
            <w:pPr>
              <w:spacing w:after="0" w:line="240" w:lineRule="auto"/>
              <w:rPr>
                <w:rFonts w:ascii="Open Sans" w:hAnsi="Open Sans" w:cs="Open Sans"/>
                <w:sz w:val="22"/>
                <w:szCs w:val="22"/>
              </w:rPr>
            </w:pPr>
          </w:p>
          <w:p w14:paraId="3DC1D609" w14:textId="6098B52E" w:rsidR="002B06F2" w:rsidRDefault="009211DD" w:rsidP="009211DD">
            <w:pPr>
              <w:tabs>
                <w:tab w:val="left" w:pos="3990"/>
              </w:tabs>
              <w:spacing w:after="0" w:line="240" w:lineRule="auto"/>
              <w:ind w:firstLine="720"/>
              <w:rPr>
                <w:rFonts w:ascii="Open Sans" w:hAnsi="Open Sans" w:cs="Open Sans"/>
                <w:sz w:val="22"/>
                <w:szCs w:val="22"/>
              </w:rPr>
            </w:pPr>
            <w:r>
              <w:rPr>
                <w:rFonts w:ascii="Open Sans" w:hAnsi="Open Sans" w:cs="Open Sans"/>
                <w:sz w:val="22"/>
                <w:szCs w:val="22"/>
              </w:rPr>
              <w:tab/>
            </w:r>
          </w:p>
        </w:tc>
      </w:tr>
    </w:tbl>
    <w:p w14:paraId="4DFA6555" w14:textId="77777777" w:rsidR="002B06F2" w:rsidRDefault="00163AB0">
      <w:pPr>
        <w:pStyle w:val="Heading1"/>
        <w:spacing w:line="240" w:lineRule="auto"/>
        <w:jc w:val="center"/>
      </w:pPr>
      <w:r>
        <w:rPr>
          <w:rFonts w:ascii="Open Sans" w:hAnsi="Open Sans"/>
          <w:b/>
          <w:color w:val="55565B"/>
          <w:sz w:val="28"/>
        </w:rPr>
        <w:lastRenderedPageBreak/>
        <w:t>Cartouche</w:t>
      </w:r>
    </w:p>
    <w:tbl>
      <w:tblPr>
        <w:tblW w:w="9350" w:type="dxa"/>
        <w:tblCellMar>
          <w:left w:w="10" w:type="dxa"/>
          <w:right w:w="10" w:type="dxa"/>
        </w:tblCellMar>
        <w:tblLook w:val="04A0" w:firstRow="1" w:lastRow="0" w:firstColumn="1" w:lastColumn="0" w:noHBand="0" w:noVBand="1"/>
      </w:tblPr>
      <w:tblGrid>
        <w:gridCol w:w="4675"/>
        <w:gridCol w:w="4675"/>
      </w:tblGrid>
      <w:tr w:rsidR="002B06F2" w14:paraId="7ED5EB09" w14:textId="77777777">
        <w:trPr>
          <w:trHeight w:val="1833"/>
        </w:trPr>
        <w:tc>
          <w:tcPr>
            <w:tcW w:w="9350" w:type="dxa"/>
            <w:gridSpan w:val="2"/>
            <w:tcMar>
              <w:top w:w="0" w:type="dxa"/>
              <w:left w:w="108" w:type="dxa"/>
              <w:bottom w:w="0" w:type="dxa"/>
              <w:right w:w="108" w:type="dxa"/>
            </w:tcMar>
          </w:tcPr>
          <w:p w14:paraId="1A0E5821" w14:textId="77777777" w:rsidR="002B06F2" w:rsidRDefault="00163AB0">
            <w:pPr>
              <w:pStyle w:val="Heading2"/>
              <w:spacing w:line="240" w:lineRule="auto"/>
              <w:rPr>
                <w:rFonts w:ascii="Open Sans" w:hAnsi="Open Sans" w:cs="Open Sans"/>
                <w:b/>
                <w:bCs/>
                <w:color w:val="55565B"/>
                <w:sz w:val="24"/>
                <w:szCs w:val="24"/>
              </w:rPr>
            </w:pPr>
            <w:r>
              <w:rPr>
                <w:rFonts w:ascii="Open Sans" w:hAnsi="Open Sans"/>
                <w:b/>
                <w:color w:val="55565B"/>
                <w:sz w:val="24"/>
              </w:rPr>
              <w:t>Arpentage des terres du Canada concerné</w:t>
            </w:r>
          </w:p>
          <w:p w14:paraId="614FB7D8" w14:textId="48EE785A" w:rsidR="006457D0" w:rsidRPr="006457D0" w:rsidRDefault="00550C32" w:rsidP="006457D0">
            <w:pPr>
              <w:pStyle w:val="ListParagraph"/>
              <w:numPr>
                <w:ilvl w:val="0"/>
                <w:numId w:val="4"/>
              </w:numPr>
              <w:spacing w:after="0" w:line="240" w:lineRule="auto"/>
            </w:pPr>
            <w:r>
              <w:rPr>
                <w:rFonts w:ascii="Open Sans" w:hAnsi="Open Sans"/>
                <w:color w:val="55565B"/>
                <w:sz w:val="20"/>
              </w:rPr>
              <w:t>L</w:t>
            </w:r>
            <w:r w:rsidR="00BB1B23">
              <w:rPr>
                <w:rFonts w:ascii="Open Sans" w:hAnsi="Open Sans"/>
                <w:color w:val="55565B"/>
                <w:sz w:val="20"/>
              </w:rPr>
              <w:t>’</w:t>
            </w:r>
            <w:r>
              <w:rPr>
                <w:rFonts w:ascii="Open Sans" w:hAnsi="Open Sans"/>
                <w:color w:val="55565B"/>
                <w:sz w:val="20"/>
              </w:rPr>
              <w:t>arpentage des terres du Canada est organisé par ordre croissant (d</w:t>
            </w:r>
            <w:r w:rsidR="00BB1B23">
              <w:rPr>
                <w:rFonts w:ascii="Open Sans" w:hAnsi="Open Sans"/>
                <w:color w:val="55565B"/>
                <w:sz w:val="20"/>
              </w:rPr>
              <w:t>’</w:t>
            </w:r>
            <w:r>
              <w:rPr>
                <w:rFonts w:ascii="Open Sans" w:hAnsi="Open Sans"/>
                <w:color w:val="55565B"/>
                <w:sz w:val="20"/>
              </w:rPr>
              <w:t>abord par rang, puis par township).</w:t>
            </w:r>
          </w:p>
          <w:p w14:paraId="7DACB6AB" w14:textId="77777777" w:rsidR="006457D0" w:rsidRPr="006457D0" w:rsidRDefault="006457D0" w:rsidP="006457D0">
            <w:pPr>
              <w:pStyle w:val="ListParagraph"/>
              <w:spacing w:after="0" w:line="240" w:lineRule="auto"/>
              <w:ind w:left="360"/>
            </w:pPr>
          </w:p>
          <w:p w14:paraId="46824A66" w14:textId="1EACAC03" w:rsidR="002B06F2" w:rsidRPr="006457D0" w:rsidRDefault="00163AB0" w:rsidP="006457D0">
            <w:pPr>
              <w:pStyle w:val="ListParagraph"/>
              <w:numPr>
                <w:ilvl w:val="0"/>
                <w:numId w:val="4"/>
              </w:numPr>
              <w:spacing w:after="0" w:line="240" w:lineRule="auto"/>
            </w:pPr>
            <w:r>
              <w:rPr>
                <w:rFonts w:ascii="Open Sans" w:hAnsi="Open Sans"/>
                <w:color w:val="55565B"/>
                <w:sz w:val="20"/>
              </w:rPr>
              <w:t>Si une emprise gouvernementale est concernée, il faut mentionner ensuite le township et le rang correspondants.</w:t>
            </w:r>
            <w:r>
              <w:rPr>
                <w:rFonts w:ascii="Open Sans" w:hAnsi="Open Sans"/>
                <w:color w:val="55565B"/>
                <w:sz w:val="20"/>
              </w:rPr>
              <w:br/>
            </w:r>
          </w:p>
          <w:p w14:paraId="0F6CFE9A" w14:textId="77777777" w:rsidR="002B06F2" w:rsidRDefault="00163AB0">
            <w:pPr>
              <w:pStyle w:val="ListParagraph"/>
              <w:numPr>
                <w:ilvl w:val="0"/>
                <w:numId w:val="4"/>
              </w:numPr>
              <w:spacing w:after="0" w:line="240" w:lineRule="auto"/>
              <w:rPr>
                <w:rFonts w:ascii="Open Sans" w:hAnsi="Open Sans" w:cs="Open Sans"/>
                <w:color w:val="55565B"/>
                <w:sz w:val="20"/>
                <w:szCs w:val="20"/>
              </w:rPr>
            </w:pPr>
            <w:r>
              <w:rPr>
                <w:rFonts w:ascii="Open Sans" w:hAnsi="Open Sans"/>
                <w:color w:val="55565B"/>
                <w:sz w:val="20"/>
              </w:rPr>
              <w:t>Pour les sections de bien-fonds : seuls les quarts de section concernés sont indiqués.</w:t>
            </w:r>
            <w:r>
              <w:rPr>
                <w:rFonts w:ascii="Open Sans" w:hAnsi="Open Sans"/>
                <w:color w:val="55565B"/>
                <w:sz w:val="20"/>
              </w:rPr>
              <w:br/>
            </w:r>
          </w:p>
          <w:p w14:paraId="637021BA" w14:textId="77777777" w:rsidR="002B06F2" w:rsidRDefault="00163AB0">
            <w:pPr>
              <w:pStyle w:val="ListParagraph"/>
              <w:numPr>
                <w:ilvl w:val="0"/>
                <w:numId w:val="4"/>
              </w:numPr>
              <w:spacing w:after="0" w:line="240" w:lineRule="auto"/>
              <w:rPr>
                <w:rFonts w:ascii="Open Sans" w:hAnsi="Open Sans" w:cs="Open Sans"/>
                <w:color w:val="55565B"/>
                <w:sz w:val="20"/>
                <w:szCs w:val="20"/>
              </w:rPr>
            </w:pPr>
            <w:r>
              <w:rPr>
                <w:rFonts w:ascii="Open Sans" w:hAnsi="Open Sans"/>
                <w:color w:val="55565B"/>
                <w:sz w:val="20"/>
              </w:rPr>
              <w:t xml:space="preserve">Pour les lots paroissiaux : les numéros consécutifs sont indiqués. </w:t>
            </w:r>
            <w:r>
              <w:rPr>
                <w:rFonts w:ascii="Open Sans" w:hAnsi="Open Sans"/>
                <w:color w:val="55565B"/>
                <w:sz w:val="20"/>
              </w:rPr>
              <w:br/>
            </w:r>
          </w:p>
          <w:p w14:paraId="5FCAB6DB" w14:textId="77777777" w:rsidR="002B06F2" w:rsidRDefault="00163AB0">
            <w:pPr>
              <w:pStyle w:val="ListParagraph"/>
              <w:numPr>
                <w:ilvl w:val="0"/>
                <w:numId w:val="4"/>
              </w:numPr>
              <w:spacing w:after="0" w:line="240" w:lineRule="auto"/>
            </w:pPr>
            <w:r>
              <w:rPr>
                <w:rFonts w:ascii="Open Sans" w:hAnsi="Open Sans"/>
                <w:color w:val="55565B"/>
                <w:sz w:val="20"/>
              </w:rPr>
              <w:t xml:space="preserve">Les sections divisées sont indiquées. </w:t>
            </w:r>
          </w:p>
        </w:tc>
      </w:tr>
      <w:tr w:rsidR="002B06F2" w14:paraId="659F6594" w14:textId="77777777">
        <w:trPr>
          <w:trHeight w:val="708"/>
        </w:trPr>
        <w:tc>
          <w:tcPr>
            <w:tcW w:w="4675" w:type="dxa"/>
            <w:tcMar>
              <w:top w:w="0" w:type="dxa"/>
              <w:left w:w="108" w:type="dxa"/>
              <w:bottom w:w="0" w:type="dxa"/>
              <w:right w:w="108" w:type="dxa"/>
            </w:tcMar>
          </w:tcPr>
          <w:p w14:paraId="6FA6C5A8" w14:textId="77777777" w:rsidR="002B06F2" w:rsidRDefault="00163AB0">
            <w:pPr>
              <w:pStyle w:val="Heading2"/>
              <w:spacing w:line="240" w:lineRule="auto"/>
            </w:pPr>
            <w:r>
              <w:rPr>
                <w:rFonts w:ascii="Open Sans" w:hAnsi="Open Sans"/>
                <w:b/>
                <w:color w:val="55565B"/>
                <w:sz w:val="24"/>
              </w:rPr>
              <w:t>Plans concernés</w:t>
            </w:r>
          </w:p>
        </w:tc>
        <w:tc>
          <w:tcPr>
            <w:tcW w:w="4675" w:type="dxa"/>
            <w:tcMar>
              <w:top w:w="0" w:type="dxa"/>
              <w:left w:w="108" w:type="dxa"/>
              <w:bottom w:w="0" w:type="dxa"/>
              <w:right w:w="108" w:type="dxa"/>
            </w:tcMar>
          </w:tcPr>
          <w:p w14:paraId="6BF9B4F1" w14:textId="77777777" w:rsidR="002B06F2" w:rsidRDefault="002B06F2">
            <w:pPr>
              <w:spacing w:after="0" w:line="240" w:lineRule="auto"/>
              <w:rPr>
                <w:rFonts w:ascii="Open Sans" w:hAnsi="Open Sans" w:cs="Open Sans"/>
                <w:color w:val="55565B"/>
                <w:sz w:val="22"/>
                <w:szCs w:val="22"/>
              </w:rPr>
            </w:pPr>
          </w:p>
        </w:tc>
      </w:tr>
      <w:tr w:rsidR="002B06F2" w14:paraId="713116FB" w14:textId="77777777">
        <w:trPr>
          <w:trHeight w:val="385"/>
        </w:trPr>
        <w:tc>
          <w:tcPr>
            <w:tcW w:w="9350" w:type="dxa"/>
            <w:gridSpan w:val="2"/>
            <w:tcMar>
              <w:top w:w="0" w:type="dxa"/>
              <w:left w:w="108" w:type="dxa"/>
              <w:bottom w:w="0" w:type="dxa"/>
              <w:right w:w="108" w:type="dxa"/>
            </w:tcMar>
          </w:tcPr>
          <w:p w14:paraId="2F08CB7D" w14:textId="390B0FC2" w:rsidR="002B06F2" w:rsidRDefault="00550C32">
            <w:pPr>
              <w:pStyle w:val="ListParagraph"/>
              <w:numPr>
                <w:ilvl w:val="0"/>
                <w:numId w:val="5"/>
              </w:numPr>
              <w:spacing w:after="0" w:line="240" w:lineRule="auto"/>
            </w:pPr>
            <w:r>
              <w:rPr>
                <w:rFonts w:ascii="Open Sans" w:hAnsi="Open Sans"/>
                <w:color w:val="55565B"/>
                <w:sz w:val="20"/>
              </w:rPr>
              <w:t xml:space="preserve">Les plans concernés sont classés par ordre croissant. </w:t>
            </w:r>
            <w:r>
              <w:rPr>
                <w:rFonts w:ascii="Open Sans" w:hAnsi="Open Sans"/>
                <w:color w:val="55565B"/>
                <w:sz w:val="20"/>
              </w:rPr>
              <w:br/>
              <w:t>On utilise le terme « y compris » lorsque le plan concerne une partie de l’arpentage des terres du Canada et une partie ou la totalité d</w:t>
            </w:r>
            <w:r w:rsidR="00BB1B23">
              <w:rPr>
                <w:rFonts w:ascii="Open Sans" w:hAnsi="Open Sans"/>
                <w:color w:val="55565B"/>
                <w:sz w:val="20"/>
              </w:rPr>
              <w:t>’</w:t>
            </w:r>
            <w:r>
              <w:rPr>
                <w:rFonts w:ascii="Open Sans" w:hAnsi="Open Sans"/>
                <w:color w:val="55565B"/>
                <w:sz w:val="20"/>
              </w:rPr>
              <w:t>un plan antérieur.</w:t>
            </w:r>
          </w:p>
          <w:p w14:paraId="7F734363" w14:textId="77777777" w:rsidR="002B06F2" w:rsidRDefault="00163AB0">
            <w:pPr>
              <w:pStyle w:val="ListParagraph"/>
              <w:spacing w:after="0" w:line="240" w:lineRule="auto"/>
              <w:ind w:left="360"/>
              <w:rPr>
                <w:rFonts w:ascii="Open Sans" w:hAnsi="Open Sans" w:cs="Open Sans"/>
                <w:color w:val="55565B"/>
                <w:sz w:val="20"/>
                <w:szCs w:val="20"/>
              </w:rPr>
            </w:pPr>
            <w:r>
              <w:rPr>
                <w:rFonts w:ascii="Open Sans" w:hAnsi="Open Sans"/>
                <w:color w:val="55565B"/>
                <w:sz w:val="20"/>
              </w:rPr>
              <w:t>On utilise le terme « soit » lorsque la partie concernée est entièrement comprise dans un plan antérieur.</w:t>
            </w:r>
          </w:p>
          <w:p w14:paraId="03ED2A06" w14:textId="77777777" w:rsidR="002B06F2" w:rsidRDefault="002B06F2">
            <w:pPr>
              <w:spacing w:after="0" w:line="240" w:lineRule="auto"/>
              <w:rPr>
                <w:rFonts w:ascii="Open Sans" w:hAnsi="Open Sans" w:cs="Open Sans"/>
                <w:color w:val="55565B"/>
                <w:sz w:val="20"/>
                <w:szCs w:val="20"/>
              </w:rPr>
            </w:pPr>
          </w:p>
          <w:p w14:paraId="77F04318" w14:textId="553A8DD3" w:rsidR="002B06F2" w:rsidRPr="00AD62E9" w:rsidRDefault="00163AB0" w:rsidP="00AD62E9">
            <w:pPr>
              <w:pStyle w:val="ListParagraph"/>
              <w:numPr>
                <w:ilvl w:val="0"/>
                <w:numId w:val="5"/>
              </w:numPr>
              <w:spacing w:after="0" w:line="240" w:lineRule="auto"/>
              <w:rPr>
                <w:rFonts w:ascii="Open Sans" w:hAnsi="Open Sans" w:cs="Open Sans"/>
                <w:color w:val="55565B"/>
                <w:sz w:val="20"/>
                <w:szCs w:val="20"/>
              </w:rPr>
            </w:pPr>
            <w:r>
              <w:rPr>
                <w:rFonts w:ascii="Open Sans" w:hAnsi="Open Sans"/>
                <w:color w:val="55565B"/>
                <w:sz w:val="20"/>
              </w:rPr>
              <w:t>Aucun plan concerné n</w:t>
            </w:r>
            <w:r w:rsidR="00BB1B23">
              <w:rPr>
                <w:rFonts w:ascii="Open Sans" w:hAnsi="Open Sans"/>
                <w:color w:val="55565B"/>
                <w:sz w:val="20"/>
              </w:rPr>
              <w:t>’</w:t>
            </w:r>
            <w:r>
              <w:rPr>
                <w:rFonts w:ascii="Open Sans" w:hAnsi="Open Sans"/>
                <w:color w:val="55565B"/>
                <w:sz w:val="20"/>
              </w:rPr>
              <w:t>a été supprimé.</w:t>
            </w:r>
            <w:r>
              <w:rPr>
                <w:rFonts w:ascii="Open Sans" w:hAnsi="Open Sans"/>
                <w:color w:val="55565B"/>
                <w:sz w:val="20"/>
              </w:rPr>
              <w:br/>
            </w:r>
          </w:p>
          <w:p w14:paraId="574AF6D0" w14:textId="6C627DDB" w:rsidR="002B06F2" w:rsidRDefault="00550C32">
            <w:pPr>
              <w:pStyle w:val="ListParagraph"/>
              <w:numPr>
                <w:ilvl w:val="0"/>
                <w:numId w:val="5"/>
              </w:numPr>
              <w:spacing w:after="0" w:line="240" w:lineRule="auto"/>
            </w:pPr>
            <w:r>
              <w:rPr>
                <w:rFonts w:ascii="Open Sans" w:hAnsi="Open Sans"/>
                <w:color w:val="55565B"/>
                <w:sz w:val="20"/>
              </w:rPr>
              <w:t>Aucune abréviation de type de plan (p. ex., PS pour « plan spécial » ou AS pour « arpentage spécial ») n</w:t>
            </w:r>
            <w:r w:rsidR="00BB1B23">
              <w:rPr>
                <w:rFonts w:ascii="Open Sans" w:hAnsi="Open Sans"/>
                <w:color w:val="55565B"/>
                <w:sz w:val="20"/>
              </w:rPr>
              <w:t>’</w:t>
            </w:r>
            <w:r>
              <w:rPr>
                <w:rFonts w:ascii="Open Sans" w:hAnsi="Open Sans"/>
                <w:color w:val="55565B"/>
                <w:sz w:val="20"/>
              </w:rPr>
              <w:t xml:space="preserve">est indiquée. </w:t>
            </w:r>
          </w:p>
          <w:p w14:paraId="71EB7695" w14:textId="77777777" w:rsidR="002B06F2" w:rsidRDefault="00163AB0">
            <w:pPr>
              <w:pStyle w:val="Heading2"/>
              <w:spacing w:line="240" w:lineRule="auto"/>
            </w:pPr>
            <w:r>
              <w:rPr>
                <w:rFonts w:ascii="Open Sans" w:hAnsi="Open Sans"/>
                <w:b/>
                <w:color w:val="55565B"/>
                <w:sz w:val="24"/>
              </w:rPr>
              <w:t>Exigences générales</w:t>
            </w:r>
          </w:p>
        </w:tc>
      </w:tr>
      <w:tr w:rsidR="002B06F2" w14:paraId="436AA8B3" w14:textId="77777777">
        <w:trPr>
          <w:trHeight w:val="1423"/>
        </w:trPr>
        <w:tc>
          <w:tcPr>
            <w:tcW w:w="9350" w:type="dxa"/>
            <w:gridSpan w:val="2"/>
            <w:tcMar>
              <w:top w:w="0" w:type="dxa"/>
              <w:left w:w="108" w:type="dxa"/>
              <w:bottom w:w="0" w:type="dxa"/>
              <w:right w:w="108" w:type="dxa"/>
            </w:tcMar>
          </w:tcPr>
          <w:p w14:paraId="034B87E9" w14:textId="5AC35F47" w:rsidR="002B06F2" w:rsidRDefault="00163AB0">
            <w:pPr>
              <w:pStyle w:val="ListParagraph"/>
              <w:numPr>
                <w:ilvl w:val="0"/>
                <w:numId w:val="6"/>
              </w:numPr>
              <w:spacing w:after="0" w:line="240" w:lineRule="auto"/>
              <w:ind w:left="360"/>
              <w:rPr>
                <w:rFonts w:ascii="Open Sans" w:hAnsi="Open Sans" w:cs="Open Sans"/>
                <w:color w:val="55565B"/>
                <w:sz w:val="20"/>
                <w:szCs w:val="20"/>
              </w:rPr>
            </w:pPr>
            <w:r>
              <w:rPr>
                <w:rFonts w:ascii="Open Sans" w:hAnsi="Open Sans"/>
                <w:color w:val="55565B"/>
                <w:sz w:val="20"/>
              </w:rPr>
              <w:t>Le type de plan indiqué est « </w:t>
            </w:r>
            <w:r w:rsidR="00E979E5">
              <w:rPr>
                <w:rFonts w:ascii="Open Sans" w:hAnsi="Open Sans"/>
                <w:color w:val="55565B"/>
                <w:sz w:val="20"/>
              </w:rPr>
              <w:t>p</w:t>
            </w:r>
            <w:r>
              <w:rPr>
                <w:rFonts w:ascii="Open Sans" w:hAnsi="Open Sans"/>
                <w:color w:val="55565B"/>
                <w:sz w:val="20"/>
              </w:rPr>
              <w:t xml:space="preserve">lan de lotissement ». </w:t>
            </w:r>
            <w:r>
              <w:rPr>
                <w:rFonts w:ascii="Open Sans" w:hAnsi="Open Sans"/>
                <w:color w:val="55565B"/>
                <w:sz w:val="20"/>
              </w:rPr>
              <w:br/>
            </w:r>
          </w:p>
          <w:p w14:paraId="03A99857" w14:textId="6192A915" w:rsidR="002B06F2" w:rsidRDefault="00550C32">
            <w:pPr>
              <w:pStyle w:val="ListParagraph"/>
              <w:numPr>
                <w:ilvl w:val="0"/>
                <w:numId w:val="6"/>
              </w:numPr>
              <w:spacing w:after="0" w:line="240" w:lineRule="auto"/>
              <w:ind w:left="360"/>
            </w:pPr>
            <w:r>
              <w:rPr>
                <w:rFonts w:ascii="Open Sans" w:hAnsi="Open Sans"/>
                <w:color w:val="55565B"/>
                <w:sz w:val="20"/>
              </w:rPr>
              <w:t xml:space="preserve">Le nom de la municipalité ou du territoire non organisé est indiqué et confirmé par le </w:t>
            </w:r>
            <w:r w:rsidRPr="00E979E5">
              <w:rPr>
                <w:rFonts w:ascii="Open Sans" w:hAnsi="Open Sans"/>
                <w:i/>
                <w:iCs/>
                <w:color w:val="55565B"/>
                <w:sz w:val="20"/>
              </w:rPr>
              <w:t>Règlement sur le statut et les limites des municipalités</w:t>
            </w:r>
            <w:r>
              <w:rPr>
                <w:rFonts w:ascii="Open Sans" w:hAnsi="Open Sans"/>
                <w:color w:val="55565B"/>
                <w:sz w:val="20"/>
              </w:rPr>
              <w:t xml:space="preserve"> (567/88R) et « Manitoba » est indiqué immédiatement après. </w:t>
            </w:r>
            <w:r>
              <w:rPr>
                <w:rFonts w:ascii="Open Sans" w:hAnsi="Open Sans"/>
                <w:color w:val="55565B"/>
                <w:sz w:val="20"/>
              </w:rPr>
              <w:br/>
            </w:r>
          </w:p>
          <w:p w14:paraId="1C45F8E8" w14:textId="4E3372AC" w:rsidR="002B06F2" w:rsidRDefault="00550C32">
            <w:pPr>
              <w:pStyle w:val="ListParagraph"/>
              <w:numPr>
                <w:ilvl w:val="0"/>
                <w:numId w:val="6"/>
              </w:numPr>
              <w:spacing w:after="0" w:line="240" w:lineRule="auto"/>
              <w:ind w:left="360"/>
              <w:rPr>
                <w:rFonts w:ascii="Open Sans" w:hAnsi="Open Sans" w:cs="Open Sans"/>
                <w:color w:val="55565B"/>
                <w:sz w:val="20"/>
                <w:szCs w:val="20"/>
              </w:rPr>
            </w:pPr>
            <w:r>
              <w:rPr>
                <w:rFonts w:ascii="Open Sans" w:hAnsi="Open Sans"/>
                <w:color w:val="55565B"/>
                <w:sz w:val="20"/>
              </w:rPr>
              <w:t>L</w:t>
            </w:r>
            <w:r w:rsidR="00BB1B23">
              <w:rPr>
                <w:rFonts w:ascii="Open Sans" w:hAnsi="Open Sans"/>
                <w:color w:val="55565B"/>
                <w:sz w:val="20"/>
              </w:rPr>
              <w:t>’</w:t>
            </w:r>
            <w:r>
              <w:rPr>
                <w:rFonts w:ascii="Open Sans" w:hAnsi="Open Sans"/>
                <w:color w:val="55565B"/>
                <w:sz w:val="20"/>
              </w:rPr>
              <w:t>échelle et la barre d</w:t>
            </w:r>
            <w:r w:rsidR="00BB1B23">
              <w:rPr>
                <w:rFonts w:ascii="Open Sans" w:hAnsi="Open Sans"/>
                <w:color w:val="55565B"/>
                <w:sz w:val="20"/>
              </w:rPr>
              <w:t>’</w:t>
            </w:r>
            <w:r>
              <w:rPr>
                <w:rFonts w:ascii="Open Sans" w:hAnsi="Open Sans"/>
                <w:color w:val="55565B"/>
                <w:sz w:val="20"/>
              </w:rPr>
              <w:t>échelle (plans métriques uniquement) sont indiquées et correspondent au corps du plan principal.</w:t>
            </w:r>
            <w:r>
              <w:rPr>
                <w:rFonts w:ascii="Open Sans" w:hAnsi="Open Sans"/>
                <w:color w:val="55565B"/>
                <w:sz w:val="20"/>
              </w:rPr>
              <w:br/>
            </w:r>
          </w:p>
        </w:tc>
      </w:tr>
      <w:tr w:rsidR="002B06F2" w14:paraId="0419C131" w14:textId="77777777">
        <w:tc>
          <w:tcPr>
            <w:tcW w:w="4675" w:type="dxa"/>
            <w:tcMar>
              <w:top w:w="0" w:type="dxa"/>
              <w:left w:w="108" w:type="dxa"/>
              <w:bottom w:w="0" w:type="dxa"/>
              <w:right w:w="108" w:type="dxa"/>
            </w:tcMar>
          </w:tcPr>
          <w:p w14:paraId="6DD6B01B" w14:textId="7D6588DC" w:rsidR="002B06F2" w:rsidRDefault="00163AB0">
            <w:pPr>
              <w:pStyle w:val="ListParagraph"/>
              <w:numPr>
                <w:ilvl w:val="0"/>
                <w:numId w:val="7"/>
              </w:numPr>
              <w:spacing w:after="0" w:line="240" w:lineRule="auto"/>
              <w:rPr>
                <w:rFonts w:ascii="Open Sans" w:hAnsi="Open Sans" w:cs="Open Sans"/>
                <w:color w:val="55565B"/>
                <w:sz w:val="20"/>
                <w:szCs w:val="20"/>
              </w:rPr>
            </w:pPr>
            <w:r>
              <w:rPr>
                <w:rFonts w:ascii="Open Sans" w:hAnsi="Open Sans"/>
                <w:color w:val="55565B"/>
                <w:sz w:val="20"/>
              </w:rPr>
              <w:t>Les mines et les minéraux sont réservés à la Couronne. Il n</w:t>
            </w:r>
            <w:r w:rsidR="00BB1B23">
              <w:rPr>
                <w:rFonts w:ascii="Open Sans" w:hAnsi="Open Sans"/>
                <w:color w:val="55565B"/>
                <w:sz w:val="20"/>
              </w:rPr>
              <w:t>’</w:t>
            </w:r>
            <w:r>
              <w:rPr>
                <w:rFonts w:ascii="Open Sans" w:hAnsi="Open Sans"/>
                <w:color w:val="55565B"/>
                <w:sz w:val="20"/>
              </w:rPr>
              <w:t>est pas nécessaire d</w:t>
            </w:r>
            <w:r w:rsidR="00BB1B23">
              <w:rPr>
                <w:rFonts w:ascii="Open Sans" w:hAnsi="Open Sans"/>
                <w:color w:val="55565B"/>
                <w:sz w:val="20"/>
              </w:rPr>
              <w:t>’</w:t>
            </w:r>
            <w:r>
              <w:rPr>
                <w:rFonts w:ascii="Open Sans" w:hAnsi="Open Sans"/>
                <w:color w:val="55565B"/>
                <w:sz w:val="20"/>
              </w:rPr>
              <w:t>ajouter sur le plan une exception spécifique concernant les mines et les minéraux.</w:t>
            </w:r>
          </w:p>
        </w:tc>
        <w:tc>
          <w:tcPr>
            <w:tcW w:w="4675" w:type="dxa"/>
            <w:tcMar>
              <w:top w:w="0" w:type="dxa"/>
              <w:left w:w="108" w:type="dxa"/>
              <w:bottom w:w="0" w:type="dxa"/>
              <w:right w:w="108" w:type="dxa"/>
            </w:tcMar>
          </w:tcPr>
          <w:p w14:paraId="602EF27E" w14:textId="0B52041D" w:rsidR="002B06F2" w:rsidRDefault="00163AB0">
            <w:pPr>
              <w:pStyle w:val="ListParagraph"/>
              <w:numPr>
                <w:ilvl w:val="0"/>
                <w:numId w:val="8"/>
              </w:numPr>
              <w:spacing w:after="0" w:line="240" w:lineRule="auto"/>
              <w:rPr>
                <w:rFonts w:ascii="Open Sans" w:hAnsi="Open Sans" w:cs="Open Sans"/>
                <w:color w:val="55565B"/>
                <w:sz w:val="20"/>
                <w:szCs w:val="20"/>
              </w:rPr>
            </w:pPr>
            <w:r>
              <w:rPr>
                <w:rFonts w:ascii="Open Sans" w:hAnsi="Open Sans"/>
                <w:color w:val="55565B"/>
                <w:sz w:val="20"/>
              </w:rPr>
              <w:t xml:space="preserve">Les mines et les minéraux ont été brevetés et ensuite séparés de la surface par une réserve ou un transfert. Le plan est </w:t>
            </w:r>
            <w:r w:rsidR="00A96BD5">
              <w:rPr>
                <w:rFonts w:ascii="Open Sans" w:hAnsi="Open Sans"/>
                <w:color w:val="55565B"/>
                <w:sz w:val="20"/>
              </w:rPr>
              <w:t>approuvé</w:t>
            </w:r>
            <w:r>
              <w:rPr>
                <w:rFonts w:ascii="Open Sans" w:hAnsi="Open Sans"/>
                <w:color w:val="55565B"/>
                <w:sz w:val="20"/>
              </w:rPr>
              <w:t xml:space="preserve"> dans la partie inférieure du </w:t>
            </w:r>
            <w:r w:rsidR="00A96BD5">
              <w:rPr>
                <w:rFonts w:ascii="Open Sans" w:hAnsi="Open Sans"/>
                <w:color w:val="55565B"/>
                <w:sz w:val="20"/>
              </w:rPr>
              <w:t>cartouche</w:t>
            </w:r>
            <w:r>
              <w:rPr>
                <w:rFonts w:ascii="Open Sans" w:hAnsi="Open Sans"/>
                <w:color w:val="55565B"/>
                <w:sz w:val="20"/>
              </w:rPr>
              <w:t xml:space="preserve"> « </w:t>
            </w:r>
            <w:r w:rsidR="00A96BD5">
              <w:rPr>
                <w:rFonts w:ascii="Open Sans" w:hAnsi="Open Sans"/>
                <w:color w:val="55565B"/>
                <w:sz w:val="20"/>
              </w:rPr>
              <w:t>à</w:t>
            </w:r>
            <w:r>
              <w:rPr>
                <w:rFonts w:ascii="Open Sans" w:hAnsi="Open Sans"/>
                <w:color w:val="55565B"/>
                <w:sz w:val="20"/>
              </w:rPr>
              <w:t xml:space="preserve"> l</w:t>
            </w:r>
            <w:r w:rsidR="00BB1B23">
              <w:rPr>
                <w:rFonts w:ascii="Open Sans" w:hAnsi="Open Sans"/>
                <w:color w:val="55565B"/>
                <w:sz w:val="20"/>
              </w:rPr>
              <w:t>’</w:t>
            </w:r>
            <w:r>
              <w:rPr>
                <w:rFonts w:ascii="Open Sans" w:hAnsi="Open Sans"/>
                <w:color w:val="55565B"/>
                <w:sz w:val="20"/>
              </w:rPr>
              <w:t>exception des mines et des minéraux non inclus dans le titre de la surface ».</w:t>
            </w:r>
          </w:p>
        </w:tc>
      </w:tr>
    </w:tbl>
    <w:p w14:paraId="6B151A1D" w14:textId="264AE933" w:rsidR="002B06F2" w:rsidRPr="00F20B33" w:rsidRDefault="00163AB0" w:rsidP="00F20B33">
      <w:pPr>
        <w:pStyle w:val="Heading1"/>
        <w:jc w:val="center"/>
        <w:rPr>
          <w:rFonts w:ascii="Open Sans" w:hAnsi="Open Sans" w:cs="Open Sans"/>
          <w:color w:val="55565B"/>
          <w:sz w:val="24"/>
          <w:szCs w:val="24"/>
        </w:rPr>
      </w:pPr>
      <w:r>
        <w:rPr>
          <w:rFonts w:ascii="Open Sans" w:hAnsi="Open Sans"/>
          <w:b/>
          <w:color w:val="55565B"/>
          <w:sz w:val="28"/>
        </w:rPr>
        <w:t xml:space="preserve">Notes </w:t>
      </w:r>
      <w:r w:rsidRPr="009533FD">
        <w:rPr>
          <w:rFonts w:ascii="Open Sans" w:hAnsi="Open Sans"/>
          <w:color w:val="55565B"/>
          <w:sz w:val="28"/>
        </w:rPr>
        <w:t>(</w:t>
      </w:r>
      <w:r>
        <w:rPr>
          <w:rFonts w:ascii="Open Sans" w:hAnsi="Open Sans"/>
          <w:color w:val="55565B"/>
          <w:sz w:val="24"/>
        </w:rPr>
        <w:t>chapitre 6.1 des IS</w:t>
      </w:r>
      <w:r w:rsidR="009533FD">
        <w:rPr>
          <w:rFonts w:ascii="Open Sans" w:hAnsi="Open Sans"/>
          <w:color w:val="55565B"/>
          <w:sz w:val="24"/>
        </w:rPr>
        <w:t>P</w:t>
      </w:r>
      <w:r>
        <w:rPr>
          <w:rFonts w:ascii="Open Sans" w:hAnsi="Open Sans"/>
          <w:color w:val="55565B"/>
          <w:sz w:val="24"/>
        </w:rPr>
        <w:t>)</w:t>
      </w:r>
    </w:p>
    <w:p w14:paraId="2397B5E9" w14:textId="0D9B3837" w:rsidR="002B06F2" w:rsidRDefault="007F4177" w:rsidP="007F4177">
      <w:pPr>
        <w:pStyle w:val="Heading2"/>
      </w:pPr>
      <w:r>
        <w:rPr>
          <w:rFonts w:ascii="Open Sans" w:hAnsi="Open Sans"/>
          <w:b/>
          <w:color w:val="55565B"/>
          <w:sz w:val="24"/>
        </w:rPr>
        <w:t>Notes</w:t>
      </w:r>
    </w:p>
    <w:tbl>
      <w:tblPr>
        <w:tblW w:w="9498" w:type="dxa"/>
        <w:tblCellMar>
          <w:left w:w="10" w:type="dxa"/>
          <w:right w:w="10" w:type="dxa"/>
        </w:tblCellMar>
        <w:tblLook w:val="04A0" w:firstRow="1" w:lastRow="0" w:firstColumn="1" w:lastColumn="0" w:noHBand="0" w:noVBand="1"/>
      </w:tblPr>
      <w:tblGrid>
        <w:gridCol w:w="4749"/>
        <w:gridCol w:w="4749"/>
      </w:tblGrid>
      <w:tr w:rsidR="002B06F2" w14:paraId="6DB62AD0" w14:textId="77777777">
        <w:trPr>
          <w:trHeight w:val="491"/>
        </w:trPr>
        <w:tc>
          <w:tcPr>
            <w:tcW w:w="4749" w:type="dxa"/>
            <w:tcMar>
              <w:top w:w="0" w:type="dxa"/>
              <w:left w:w="108" w:type="dxa"/>
              <w:bottom w:w="0" w:type="dxa"/>
              <w:right w:w="108" w:type="dxa"/>
            </w:tcMar>
          </w:tcPr>
          <w:p w14:paraId="0E2A6A5D" w14:textId="77777777" w:rsidR="002B06F2" w:rsidRDefault="00163AB0">
            <w:pPr>
              <w:pStyle w:val="ListParagraph"/>
              <w:numPr>
                <w:ilvl w:val="0"/>
                <w:numId w:val="9"/>
              </w:numPr>
              <w:spacing w:after="0" w:line="240" w:lineRule="auto"/>
            </w:pPr>
            <w:r>
              <w:rPr>
                <w:rFonts w:ascii="Open Sans" w:hAnsi="Open Sans"/>
                <w:color w:val="55565B"/>
                <w:sz w:val="20"/>
              </w:rPr>
              <w:t>Système impérial : toutes les distances sont indiquées en pieds et en décimales de pied.</w:t>
            </w:r>
          </w:p>
        </w:tc>
        <w:tc>
          <w:tcPr>
            <w:tcW w:w="4749" w:type="dxa"/>
            <w:tcMar>
              <w:top w:w="0" w:type="dxa"/>
              <w:left w:w="108" w:type="dxa"/>
              <w:bottom w:w="0" w:type="dxa"/>
              <w:right w:w="108" w:type="dxa"/>
            </w:tcMar>
          </w:tcPr>
          <w:p w14:paraId="0C3F268A" w14:textId="77777777" w:rsidR="002B06F2" w:rsidRDefault="00163AB0">
            <w:pPr>
              <w:pStyle w:val="ListParagraph"/>
              <w:numPr>
                <w:ilvl w:val="0"/>
                <w:numId w:val="10"/>
              </w:numPr>
              <w:spacing w:after="0" w:line="240" w:lineRule="auto"/>
            </w:pPr>
            <w:r>
              <w:rPr>
                <w:rFonts w:ascii="Open Sans" w:hAnsi="Open Sans"/>
                <w:color w:val="55565B"/>
                <w:sz w:val="20"/>
              </w:rPr>
              <w:t>Système métrique : toutes les distances sont indiquées en mètres. On peut les convertir en pieds en les multipliant par 3,28084.</w:t>
            </w:r>
            <w:r>
              <w:rPr>
                <w:rFonts w:ascii="Open Sans" w:hAnsi="Open Sans"/>
                <w:color w:val="55565B"/>
                <w:sz w:val="20"/>
              </w:rPr>
              <w:br/>
            </w:r>
          </w:p>
        </w:tc>
      </w:tr>
      <w:tr w:rsidR="002B06F2" w14:paraId="15BCAEDD" w14:textId="77777777" w:rsidTr="00AD62E9">
        <w:trPr>
          <w:trHeight w:val="993"/>
        </w:trPr>
        <w:tc>
          <w:tcPr>
            <w:tcW w:w="9498" w:type="dxa"/>
            <w:gridSpan w:val="2"/>
            <w:tcMar>
              <w:top w:w="0" w:type="dxa"/>
              <w:left w:w="108" w:type="dxa"/>
              <w:bottom w:w="0" w:type="dxa"/>
              <w:right w:w="108" w:type="dxa"/>
            </w:tcMar>
          </w:tcPr>
          <w:p w14:paraId="00954DA0" w14:textId="0B803B4F" w:rsidR="002B06F2" w:rsidRDefault="00550C32">
            <w:pPr>
              <w:pStyle w:val="ListParagraph"/>
              <w:numPr>
                <w:ilvl w:val="0"/>
                <w:numId w:val="11"/>
              </w:numPr>
              <w:spacing w:after="0" w:line="240" w:lineRule="auto"/>
            </w:pPr>
            <w:r>
              <w:rPr>
                <w:rFonts w:ascii="Open Sans" w:hAnsi="Open Sans"/>
                <w:color w:val="55565B"/>
                <w:sz w:val="20"/>
              </w:rPr>
              <w:t>Toutes les bornes d</w:t>
            </w:r>
            <w:r w:rsidR="00BB1B23">
              <w:rPr>
                <w:rFonts w:ascii="Open Sans" w:hAnsi="Open Sans"/>
                <w:color w:val="55565B"/>
                <w:sz w:val="20"/>
              </w:rPr>
              <w:t>’</w:t>
            </w:r>
            <w:r>
              <w:rPr>
                <w:rFonts w:ascii="Open Sans" w:hAnsi="Open Sans"/>
                <w:color w:val="55565B"/>
                <w:sz w:val="20"/>
              </w:rPr>
              <w:t>arpentage trouvées sur le terrain sont décrites et représentées de la manière suivante : --- O.</w:t>
            </w:r>
            <w:r>
              <w:rPr>
                <w:rFonts w:ascii="Open Sans" w:hAnsi="Open Sans"/>
                <w:color w:val="55565B"/>
                <w:sz w:val="20"/>
              </w:rPr>
              <w:br/>
            </w:r>
          </w:p>
          <w:p w14:paraId="7ACFA181" w14:textId="3307BC51" w:rsidR="002B06F2" w:rsidRDefault="00550C32">
            <w:pPr>
              <w:pStyle w:val="ListParagraph"/>
              <w:numPr>
                <w:ilvl w:val="0"/>
                <w:numId w:val="11"/>
              </w:numPr>
              <w:spacing w:after="0" w:line="240" w:lineRule="auto"/>
              <w:rPr>
                <w:rFonts w:ascii="Open Sans" w:hAnsi="Open Sans" w:cs="Open Sans"/>
                <w:color w:val="55565B"/>
                <w:sz w:val="20"/>
                <w:szCs w:val="20"/>
              </w:rPr>
            </w:pPr>
            <w:r>
              <w:rPr>
                <w:rFonts w:ascii="Open Sans" w:hAnsi="Open Sans"/>
                <w:color w:val="55565B"/>
                <w:sz w:val="20"/>
              </w:rPr>
              <w:t xml:space="preserve">Toutes les bornes trouvées et placées sont correctement décrites, avec mention de leur matériau de composition, de leur taille et de leur emplacement. </w:t>
            </w:r>
            <w:r>
              <w:rPr>
                <w:rFonts w:ascii="Open Sans" w:hAnsi="Open Sans"/>
                <w:color w:val="55565B"/>
                <w:sz w:val="20"/>
              </w:rPr>
              <w:br/>
            </w:r>
          </w:p>
          <w:p w14:paraId="0A73BC6B" w14:textId="5140D34D" w:rsidR="002B06F2" w:rsidRDefault="00550C32">
            <w:pPr>
              <w:pStyle w:val="ListParagraph"/>
              <w:numPr>
                <w:ilvl w:val="0"/>
                <w:numId w:val="11"/>
              </w:numPr>
              <w:spacing w:after="0" w:line="240" w:lineRule="auto"/>
            </w:pPr>
            <w:r>
              <w:rPr>
                <w:rFonts w:ascii="Open Sans" w:hAnsi="Open Sans"/>
                <w:color w:val="55565B"/>
                <w:sz w:val="20"/>
              </w:rPr>
              <w:lastRenderedPageBreak/>
              <w:t>Tous les biens-fonds concernés par l</w:t>
            </w:r>
            <w:r w:rsidR="00BB1B23">
              <w:rPr>
                <w:rFonts w:ascii="Open Sans" w:hAnsi="Open Sans"/>
                <w:color w:val="55565B"/>
                <w:sz w:val="20"/>
              </w:rPr>
              <w:t>’</w:t>
            </w:r>
            <w:r>
              <w:rPr>
                <w:rFonts w:ascii="Open Sans" w:hAnsi="Open Sans"/>
                <w:color w:val="55565B"/>
                <w:sz w:val="20"/>
              </w:rPr>
              <w:t>enregistrement de ce plan sont délimités ainsi : _____ (trait noir plein de 1 à 1,5 mm).</w:t>
            </w:r>
            <w:r>
              <w:rPr>
                <w:rFonts w:ascii="Open Sans" w:hAnsi="Open Sans"/>
                <w:color w:val="55565B"/>
                <w:sz w:val="20"/>
              </w:rPr>
              <w:br/>
            </w:r>
          </w:p>
          <w:p w14:paraId="20C72AE8" w14:textId="290300C0" w:rsidR="002B06F2" w:rsidRPr="00F20B33" w:rsidRDefault="00163AB0" w:rsidP="00F20B33">
            <w:pPr>
              <w:pStyle w:val="ListParagraph"/>
              <w:numPr>
                <w:ilvl w:val="0"/>
                <w:numId w:val="11"/>
              </w:numPr>
              <w:spacing w:after="0" w:line="240" w:lineRule="auto"/>
            </w:pPr>
            <w:r>
              <w:rPr>
                <w:rFonts w:ascii="Open Sans" w:hAnsi="Open Sans"/>
                <w:color w:val="55565B"/>
                <w:sz w:val="20"/>
              </w:rPr>
              <w:t>Tous les plans mentionnés sont enregistrés au bureau des titres fonciers de ____________.</w:t>
            </w:r>
          </w:p>
          <w:p w14:paraId="0E3D77CD" w14:textId="77777777" w:rsidR="00F20B33" w:rsidRPr="00F20B33" w:rsidRDefault="00F20B33" w:rsidP="00F20B33"/>
          <w:p w14:paraId="255CC32A" w14:textId="205CD7CE" w:rsidR="002B06F2" w:rsidRDefault="007F4177" w:rsidP="00F20B33">
            <w:pPr>
              <w:pStyle w:val="Heading2"/>
              <w:rPr>
                <w:rFonts w:ascii="Open Sans" w:hAnsi="Open Sans" w:cs="Open Sans"/>
                <w:color w:val="55565B"/>
                <w:sz w:val="20"/>
                <w:szCs w:val="20"/>
              </w:rPr>
            </w:pPr>
            <w:r>
              <w:rPr>
                <w:rFonts w:ascii="Open Sans" w:hAnsi="Open Sans"/>
                <w:b/>
                <w:color w:val="55565B"/>
                <w:sz w:val="24"/>
              </w:rPr>
              <w:t>Notes, le cas échéant</w:t>
            </w:r>
          </w:p>
          <w:p w14:paraId="36EF502B" w14:textId="05527DDA" w:rsidR="002B06F2" w:rsidRDefault="00163AB0">
            <w:pPr>
              <w:pStyle w:val="ListParagraph"/>
              <w:numPr>
                <w:ilvl w:val="0"/>
                <w:numId w:val="11"/>
              </w:numPr>
              <w:spacing w:after="0" w:line="240" w:lineRule="auto"/>
              <w:rPr>
                <w:rFonts w:ascii="Open Sans" w:hAnsi="Open Sans" w:cs="Open Sans"/>
                <w:color w:val="55565B"/>
                <w:sz w:val="20"/>
                <w:szCs w:val="20"/>
              </w:rPr>
            </w:pPr>
            <w:r>
              <w:rPr>
                <w:rFonts w:ascii="Open Sans" w:hAnsi="Open Sans"/>
                <w:color w:val="55565B"/>
                <w:sz w:val="20"/>
              </w:rPr>
              <w:t>Dans les territoires non arpentés, inclure cette note : Les sections, les townships, les rangs et les emprises gouvernementales représentés par des images fantômes ou mentionnés ici ne le sont qu</w:t>
            </w:r>
            <w:r w:rsidR="00BB1B23">
              <w:rPr>
                <w:rFonts w:ascii="Open Sans" w:hAnsi="Open Sans"/>
                <w:color w:val="55565B"/>
                <w:sz w:val="20"/>
              </w:rPr>
              <w:t>’</w:t>
            </w:r>
            <w:r>
              <w:rPr>
                <w:rFonts w:ascii="Open Sans" w:hAnsi="Open Sans"/>
                <w:color w:val="55565B"/>
                <w:sz w:val="20"/>
              </w:rPr>
              <w:t>à des fins d</w:t>
            </w:r>
            <w:r w:rsidR="00BB1B23">
              <w:rPr>
                <w:rFonts w:ascii="Open Sans" w:hAnsi="Open Sans"/>
                <w:color w:val="55565B"/>
                <w:sz w:val="20"/>
              </w:rPr>
              <w:t>’</w:t>
            </w:r>
            <w:r>
              <w:rPr>
                <w:rFonts w:ascii="Open Sans" w:hAnsi="Open Sans"/>
                <w:color w:val="55565B"/>
                <w:sz w:val="20"/>
              </w:rPr>
              <w:t>indexation et de référence.</w:t>
            </w:r>
          </w:p>
          <w:p w14:paraId="72B7F19B" w14:textId="77777777" w:rsidR="00163AB0" w:rsidRDefault="00163AB0" w:rsidP="00163AB0">
            <w:pPr>
              <w:pStyle w:val="ListParagraph"/>
              <w:spacing w:after="0" w:line="240" w:lineRule="auto"/>
              <w:ind w:left="360"/>
              <w:rPr>
                <w:rFonts w:ascii="Open Sans" w:hAnsi="Open Sans" w:cs="Open Sans"/>
                <w:color w:val="55565B"/>
                <w:sz w:val="20"/>
                <w:szCs w:val="20"/>
              </w:rPr>
            </w:pPr>
          </w:p>
        </w:tc>
      </w:tr>
      <w:tr w:rsidR="002B06F2" w14:paraId="732E3A3B" w14:textId="77777777">
        <w:trPr>
          <w:trHeight w:val="807"/>
        </w:trPr>
        <w:tc>
          <w:tcPr>
            <w:tcW w:w="4749" w:type="dxa"/>
            <w:tcMar>
              <w:top w:w="0" w:type="dxa"/>
              <w:left w:w="108" w:type="dxa"/>
              <w:bottom w:w="0" w:type="dxa"/>
              <w:right w:w="108" w:type="dxa"/>
            </w:tcMar>
          </w:tcPr>
          <w:p w14:paraId="028D08F7" w14:textId="77777777" w:rsidR="002B06F2" w:rsidRDefault="00163AB0">
            <w:pPr>
              <w:pStyle w:val="ListParagraph"/>
              <w:numPr>
                <w:ilvl w:val="0"/>
                <w:numId w:val="12"/>
              </w:numPr>
              <w:spacing w:after="0" w:line="240" w:lineRule="auto"/>
            </w:pPr>
            <w:r>
              <w:rPr>
                <w:rFonts w:ascii="Open Sans" w:hAnsi="Open Sans"/>
                <w:color w:val="55565B"/>
                <w:sz w:val="20"/>
              </w:rPr>
              <w:lastRenderedPageBreak/>
              <w:t>Système impérial : Toutes les zones sont indiquées en acres (</w:t>
            </w:r>
            <w:proofErr w:type="spellStart"/>
            <w:r>
              <w:rPr>
                <w:rFonts w:ascii="Open Sans" w:hAnsi="Open Sans"/>
                <w:color w:val="55565B"/>
                <w:sz w:val="20"/>
              </w:rPr>
              <w:t>ac</w:t>
            </w:r>
            <w:proofErr w:type="spellEnd"/>
            <w:r>
              <w:rPr>
                <w:rFonts w:ascii="Open Sans" w:hAnsi="Open Sans"/>
                <w:color w:val="55565B"/>
                <w:sz w:val="20"/>
              </w:rPr>
              <w:t>.).</w:t>
            </w:r>
          </w:p>
        </w:tc>
        <w:tc>
          <w:tcPr>
            <w:tcW w:w="4749" w:type="dxa"/>
            <w:tcMar>
              <w:top w:w="0" w:type="dxa"/>
              <w:left w:w="108" w:type="dxa"/>
              <w:bottom w:w="0" w:type="dxa"/>
              <w:right w:w="108" w:type="dxa"/>
            </w:tcMar>
          </w:tcPr>
          <w:p w14:paraId="1807035F" w14:textId="77777777" w:rsidR="002B06F2" w:rsidRPr="000A0A19" w:rsidRDefault="00163AB0">
            <w:pPr>
              <w:pStyle w:val="ListParagraph"/>
              <w:numPr>
                <w:ilvl w:val="0"/>
                <w:numId w:val="13"/>
              </w:numPr>
              <w:spacing w:after="0" w:line="240" w:lineRule="auto"/>
            </w:pPr>
            <w:r>
              <w:rPr>
                <w:rFonts w:ascii="Open Sans" w:hAnsi="Open Sans"/>
                <w:color w:val="55565B"/>
                <w:sz w:val="20"/>
              </w:rPr>
              <w:t>Système métrique : Toutes les zones sont indiquées en hectares (ha). On peut les convertir en pieds en les multipliant par 2,47105.</w:t>
            </w:r>
          </w:p>
          <w:p w14:paraId="779D9370" w14:textId="77777777" w:rsidR="000A0A19" w:rsidRDefault="000A0A19" w:rsidP="000A0A19">
            <w:pPr>
              <w:pStyle w:val="ListParagraph"/>
              <w:spacing w:after="0" w:line="240" w:lineRule="auto"/>
              <w:ind w:left="360"/>
            </w:pPr>
          </w:p>
        </w:tc>
      </w:tr>
      <w:tr w:rsidR="00AD62E9" w14:paraId="1CC8720D" w14:textId="77777777">
        <w:trPr>
          <w:trHeight w:val="807"/>
        </w:trPr>
        <w:tc>
          <w:tcPr>
            <w:tcW w:w="4749" w:type="dxa"/>
            <w:tcMar>
              <w:top w:w="0" w:type="dxa"/>
              <w:left w:w="108" w:type="dxa"/>
              <w:bottom w:w="0" w:type="dxa"/>
              <w:right w:w="108" w:type="dxa"/>
            </w:tcMar>
          </w:tcPr>
          <w:p w14:paraId="533B1E97" w14:textId="2DC17D1B" w:rsidR="00AD62E9" w:rsidRDefault="00AD62E9">
            <w:pPr>
              <w:pStyle w:val="ListParagraph"/>
              <w:numPr>
                <w:ilvl w:val="0"/>
                <w:numId w:val="12"/>
              </w:numPr>
              <w:spacing w:after="0" w:line="240" w:lineRule="auto"/>
              <w:rPr>
                <w:rFonts w:ascii="Open Sans" w:hAnsi="Open Sans" w:cs="Open Sans"/>
                <w:color w:val="55565B"/>
                <w:sz w:val="20"/>
                <w:szCs w:val="20"/>
              </w:rPr>
            </w:pPr>
            <w:r>
              <w:rPr>
                <w:rFonts w:ascii="Open Sans" w:hAnsi="Open Sans"/>
                <w:color w:val="55565B"/>
                <w:sz w:val="20"/>
              </w:rPr>
              <w:t xml:space="preserve">Dans une zone d’arpentage spécial : </w:t>
            </w:r>
            <w:r w:rsidR="006C6BE5">
              <w:rPr>
                <w:rFonts w:ascii="Open Sans" w:hAnsi="Open Sans"/>
                <w:color w:val="55565B"/>
                <w:sz w:val="20"/>
              </w:rPr>
              <w:t>« </w:t>
            </w:r>
            <w:r>
              <w:rPr>
                <w:rFonts w:ascii="Open Sans" w:hAnsi="Open Sans"/>
                <w:color w:val="55565B"/>
                <w:sz w:val="20"/>
              </w:rPr>
              <w:t>Ce plan est réalisé conformément au plan coupe n° ______ de l’arpentage spécial de la Ville de Winnipeg</w:t>
            </w:r>
            <w:r w:rsidR="006043B3">
              <w:rPr>
                <w:rFonts w:ascii="Open Sans" w:hAnsi="Open Sans"/>
                <w:color w:val="55565B"/>
                <w:sz w:val="20"/>
              </w:rPr>
              <w:t> ».</w:t>
            </w:r>
          </w:p>
        </w:tc>
        <w:tc>
          <w:tcPr>
            <w:tcW w:w="4749" w:type="dxa"/>
            <w:tcMar>
              <w:top w:w="0" w:type="dxa"/>
              <w:left w:w="108" w:type="dxa"/>
              <w:bottom w:w="0" w:type="dxa"/>
              <w:right w:w="108" w:type="dxa"/>
            </w:tcMar>
          </w:tcPr>
          <w:p w14:paraId="1E1167D1" w14:textId="7D854B78" w:rsidR="00AD62E9" w:rsidRDefault="00AD62E9">
            <w:pPr>
              <w:pStyle w:val="ListParagraph"/>
              <w:numPr>
                <w:ilvl w:val="0"/>
                <w:numId w:val="13"/>
              </w:numPr>
              <w:spacing w:after="0" w:line="240" w:lineRule="auto"/>
              <w:rPr>
                <w:rFonts w:ascii="Open Sans" w:hAnsi="Open Sans" w:cs="Open Sans"/>
                <w:color w:val="55565B"/>
                <w:sz w:val="20"/>
                <w:szCs w:val="20"/>
              </w:rPr>
            </w:pPr>
            <w:r>
              <w:rPr>
                <w:rFonts w:ascii="Open Sans" w:hAnsi="Open Sans"/>
                <w:color w:val="55565B"/>
                <w:sz w:val="20"/>
              </w:rPr>
              <w:t>En dehors d</w:t>
            </w:r>
            <w:r w:rsidR="00BB1B23">
              <w:rPr>
                <w:rFonts w:ascii="Open Sans" w:hAnsi="Open Sans"/>
                <w:color w:val="55565B"/>
                <w:sz w:val="20"/>
              </w:rPr>
              <w:t>’</w:t>
            </w:r>
            <w:r>
              <w:rPr>
                <w:rFonts w:ascii="Open Sans" w:hAnsi="Open Sans"/>
                <w:color w:val="55565B"/>
                <w:sz w:val="20"/>
              </w:rPr>
              <w:t xml:space="preserve">une zone d’arpentage spécial : </w:t>
            </w:r>
            <w:r w:rsidR="006043B3">
              <w:rPr>
                <w:rFonts w:ascii="Open Sans" w:hAnsi="Open Sans"/>
                <w:color w:val="55565B"/>
                <w:sz w:val="20"/>
              </w:rPr>
              <w:t>« </w:t>
            </w:r>
            <w:r>
              <w:rPr>
                <w:rFonts w:ascii="Open Sans" w:hAnsi="Open Sans"/>
                <w:color w:val="55565B"/>
                <w:sz w:val="20"/>
              </w:rPr>
              <w:t>Ce plan est réalisé conformément au plan d</w:t>
            </w:r>
            <w:r w:rsidR="00BB1B23">
              <w:rPr>
                <w:rFonts w:ascii="Open Sans" w:hAnsi="Open Sans"/>
                <w:color w:val="55565B"/>
                <w:sz w:val="20"/>
              </w:rPr>
              <w:t>’</w:t>
            </w:r>
            <w:r>
              <w:rPr>
                <w:rFonts w:ascii="Open Sans" w:hAnsi="Open Sans"/>
                <w:color w:val="55565B"/>
                <w:sz w:val="20"/>
              </w:rPr>
              <w:t>arpentage spécial n° ______</w:t>
            </w:r>
            <w:r w:rsidR="006043B3">
              <w:rPr>
                <w:rFonts w:ascii="Open Sans" w:hAnsi="Open Sans"/>
                <w:color w:val="55565B"/>
                <w:sz w:val="20"/>
              </w:rPr>
              <w:t> »</w:t>
            </w:r>
            <w:r>
              <w:rPr>
                <w:rFonts w:ascii="Open Sans" w:hAnsi="Open Sans"/>
                <w:color w:val="55565B"/>
                <w:sz w:val="20"/>
              </w:rPr>
              <w:t xml:space="preserve"> ou indiqué sur le plan en lettres fantômes.</w:t>
            </w:r>
          </w:p>
        </w:tc>
      </w:tr>
      <w:tr w:rsidR="002B06F2" w14:paraId="31AEE903" w14:textId="77777777">
        <w:trPr>
          <w:trHeight w:val="87"/>
        </w:trPr>
        <w:tc>
          <w:tcPr>
            <w:tcW w:w="9498" w:type="dxa"/>
            <w:gridSpan w:val="2"/>
            <w:tcMar>
              <w:top w:w="0" w:type="dxa"/>
              <w:left w:w="108" w:type="dxa"/>
              <w:bottom w:w="0" w:type="dxa"/>
              <w:right w:w="108" w:type="dxa"/>
            </w:tcMar>
          </w:tcPr>
          <w:p w14:paraId="52915B51" w14:textId="77777777" w:rsidR="00AD62E9" w:rsidRPr="00AD62E9" w:rsidRDefault="00AD62E9" w:rsidP="00AD62E9">
            <w:pPr>
              <w:pStyle w:val="ListParagraph"/>
              <w:spacing w:after="0" w:line="240" w:lineRule="auto"/>
              <w:ind w:left="360"/>
            </w:pPr>
          </w:p>
          <w:p w14:paraId="589079A8" w14:textId="7DAD4775" w:rsidR="002B06F2" w:rsidRDefault="00163AB0">
            <w:pPr>
              <w:pStyle w:val="ListParagraph"/>
              <w:numPr>
                <w:ilvl w:val="0"/>
                <w:numId w:val="15"/>
              </w:numPr>
              <w:spacing w:after="0" w:line="240" w:lineRule="auto"/>
            </w:pPr>
            <w:r>
              <w:rPr>
                <w:rFonts w:ascii="Open Sans" w:hAnsi="Open Sans"/>
                <w:color w:val="55565B"/>
                <w:sz w:val="20"/>
              </w:rPr>
              <w:t>Lorsque des directions sont indiquées, dans le corps du plan, indiquer une mention à leur sujet (exemple : « Les directions sont tirées de l</w:t>
            </w:r>
            <w:r w:rsidR="00BB1B23">
              <w:rPr>
                <w:rFonts w:ascii="Open Sans" w:hAnsi="Open Sans"/>
                <w:color w:val="55565B"/>
                <w:sz w:val="20"/>
              </w:rPr>
              <w:t>’</w:t>
            </w:r>
            <w:r>
              <w:rPr>
                <w:rFonts w:ascii="Open Sans" w:hAnsi="Open Sans"/>
                <w:color w:val="55565B"/>
                <w:sz w:val="20"/>
              </w:rPr>
              <w:t>observation astronomique de Polaris [ou du soleil] ou des observations GPS effectuées le [date] à la station marquée “A” et sont rapporté</w:t>
            </w:r>
            <w:r w:rsidR="006043B3">
              <w:rPr>
                <w:rFonts w:ascii="Open Sans" w:hAnsi="Open Sans"/>
                <w:color w:val="55565B"/>
                <w:sz w:val="20"/>
              </w:rPr>
              <w:t>e</w:t>
            </w:r>
            <w:r>
              <w:rPr>
                <w:rFonts w:ascii="Open Sans" w:hAnsi="Open Sans"/>
                <w:color w:val="55565B"/>
                <w:sz w:val="20"/>
              </w:rPr>
              <w:t>s au méridien passant par “A” »).</w:t>
            </w:r>
            <w:r>
              <w:rPr>
                <w:rFonts w:ascii="Open Sans" w:hAnsi="Open Sans"/>
                <w:color w:val="55565B"/>
                <w:sz w:val="20"/>
              </w:rPr>
              <w:br/>
            </w:r>
          </w:p>
          <w:p w14:paraId="399816C6" w14:textId="77777777" w:rsidR="002B06F2" w:rsidRDefault="00163AB0">
            <w:pPr>
              <w:pStyle w:val="ListParagraph"/>
              <w:numPr>
                <w:ilvl w:val="0"/>
                <w:numId w:val="15"/>
              </w:numPr>
              <w:spacing w:after="0" w:line="240" w:lineRule="auto"/>
              <w:rPr>
                <w:rFonts w:ascii="Open Sans" w:hAnsi="Open Sans" w:cs="Open Sans"/>
                <w:color w:val="55565B"/>
                <w:sz w:val="20"/>
                <w:szCs w:val="20"/>
              </w:rPr>
            </w:pPr>
            <w:r>
              <w:rPr>
                <w:rFonts w:ascii="Open Sans" w:hAnsi="Open Sans"/>
                <w:color w:val="55565B"/>
                <w:sz w:val="20"/>
              </w:rPr>
              <w:t>Lorsque la localisation GPS est utilisée : les données et la borne de contrôle sont indiquées.</w:t>
            </w:r>
            <w:r>
              <w:rPr>
                <w:rFonts w:ascii="Open Sans" w:hAnsi="Open Sans"/>
                <w:color w:val="55565B"/>
                <w:sz w:val="20"/>
              </w:rPr>
              <w:br/>
            </w:r>
          </w:p>
          <w:p w14:paraId="1AAE7443" w14:textId="49E3FECB" w:rsidR="002B06F2" w:rsidRDefault="00550C32">
            <w:pPr>
              <w:pStyle w:val="ListParagraph"/>
              <w:numPr>
                <w:ilvl w:val="0"/>
                <w:numId w:val="15"/>
              </w:numPr>
              <w:spacing w:after="0" w:line="240" w:lineRule="auto"/>
              <w:rPr>
                <w:rFonts w:ascii="Open Sans" w:hAnsi="Open Sans" w:cs="Open Sans"/>
                <w:color w:val="55565B"/>
                <w:sz w:val="20"/>
                <w:szCs w:val="20"/>
              </w:rPr>
            </w:pPr>
            <w:r>
              <w:rPr>
                <w:rFonts w:ascii="Open Sans" w:hAnsi="Open Sans"/>
                <w:color w:val="55565B"/>
                <w:sz w:val="20"/>
              </w:rPr>
              <w:t xml:space="preserve">Toute référence à des déclarations solennelles supplémentaires est fournie.  </w:t>
            </w:r>
          </w:p>
        </w:tc>
      </w:tr>
    </w:tbl>
    <w:p w14:paraId="1E2DD42F" w14:textId="00DB948B" w:rsidR="002B06F2" w:rsidRDefault="00163AB0">
      <w:pPr>
        <w:pStyle w:val="Heading1"/>
        <w:spacing w:line="240" w:lineRule="auto"/>
        <w:jc w:val="center"/>
      </w:pPr>
      <w:r>
        <w:rPr>
          <w:rFonts w:ascii="Open Sans" w:hAnsi="Open Sans"/>
          <w:color w:val="55565B"/>
          <w:sz w:val="2"/>
        </w:rPr>
        <w:br/>
      </w:r>
      <w:r>
        <w:rPr>
          <w:rFonts w:ascii="Open Sans" w:hAnsi="Open Sans"/>
          <w:b/>
          <w:color w:val="55565B"/>
          <w:sz w:val="28"/>
        </w:rPr>
        <w:t xml:space="preserve">Affidavit de l’arpenteur-géomètre </w:t>
      </w:r>
      <w:r w:rsidRPr="009A145F">
        <w:rPr>
          <w:rFonts w:ascii="Open Sans" w:hAnsi="Open Sans"/>
          <w:bCs/>
          <w:color w:val="55565B"/>
          <w:sz w:val="28"/>
        </w:rPr>
        <w:t>(</w:t>
      </w:r>
      <w:r>
        <w:rPr>
          <w:rFonts w:ascii="Open Sans" w:hAnsi="Open Sans"/>
          <w:color w:val="55565B"/>
          <w:sz w:val="28"/>
        </w:rPr>
        <w:t>chapitre 11 des ISP)</w:t>
      </w:r>
      <w:r>
        <w:rPr>
          <w:rFonts w:ascii="Open Sans" w:hAnsi="Open Sans"/>
          <w:b/>
          <w:color w:val="55565B"/>
          <w:sz w:val="28"/>
        </w:rPr>
        <w:br/>
      </w:r>
    </w:p>
    <w:tbl>
      <w:tblPr>
        <w:tblW w:w="9350" w:type="dxa"/>
        <w:tblCellMar>
          <w:left w:w="10" w:type="dxa"/>
          <w:right w:w="10" w:type="dxa"/>
        </w:tblCellMar>
        <w:tblLook w:val="04A0" w:firstRow="1" w:lastRow="0" w:firstColumn="1" w:lastColumn="0" w:noHBand="0" w:noVBand="1"/>
      </w:tblPr>
      <w:tblGrid>
        <w:gridCol w:w="3681"/>
        <w:gridCol w:w="1417"/>
        <w:gridCol w:w="4252"/>
      </w:tblGrid>
      <w:tr w:rsidR="002B06F2" w14:paraId="363C7CC7" w14:textId="77777777">
        <w:tc>
          <w:tcPr>
            <w:tcW w:w="9350" w:type="dxa"/>
            <w:gridSpan w:val="3"/>
            <w:tcMar>
              <w:top w:w="0" w:type="dxa"/>
              <w:left w:w="108" w:type="dxa"/>
              <w:bottom w:w="0" w:type="dxa"/>
              <w:right w:w="108" w:type="dxa"/>
            </w:tcMar>
          </w:tcPr>
          <w:p w14:paraId="16E40027" w14:textId="62FECD96" w:rsidR="002B06F2" w:rsidRDefault="00163AB0" w:rsidP="00163AB0">
            <w:pPr>
              <w:spacing w:after="0" w:line="240" w:lineRule="auto"/>
              <w:rPr>
                <w:rFonts w:ascii="Open Sans" w:hAnsi="Open Sans" w:cs="Open Sans"/>
                <w:color w:val="55565B"/>
                <w:sz w:val="20"/>
                <w:szCs w:val="20"/>
              </w:rPr>
            </w:pPr>
            <w:r>
              <w:rPr>
                <w:rFonts w:ascii="Open Sans" w:hAnsi="Open Sans"/>
                <w:color w:val="55565B"/>
                <w:sz w:val="20"/>
              </w:rPr>
              <w:t>Je soussigné, __</w:t>
            </w:r>
            <w:r w:rsidR="0013290D">
              <w:rPr>
                <w:rFonts w:ascii="Open Sans" w:hAnsi="Open Sans"/>
                <w:color w:val="55565B"/>
                <w:sz w:val="20"/>
              </w:rPr>
              <w:t xml:space="preserve"> </w:t>
            </w:r>
            <w:r>
              <w:rPr>
                <w:rFonts w:ascii="Open Sans" w:hAnsi="Open Sans"/>
                <w:color w:val="55565B"/>
                <w:sz w:val="20"/>
              </w:rPr>
              <w:t>(nom de l’arpenteur-géomètre)</w:t>
            </w:r>
            <w:r w:rsidR="0013290D">
              <w:rPr>
                <w:rFonts w:ascii="Open Sans" w:hAnsi="Open Sans"/>
                <w:color w:val="55565B"/>
                <w:sz w:val="20"/>
              </w:rPr>
              <w:t xml:space="preserve"> __</w:t>
            </w:r>
            <w:r>
              <w:rPr>
                <w:rFonts w:ascii="Open Sans" w:hAnsi="Open Sans"/>
                <w:color w:val="55565B"/>
                <w:sz w:val="20"/>
              </w:rPr>
              <w:t>, de __</w:t>
            </w:r>
            <w:r w:rsidR="00CF4234">
              <w:rPr>
                <w:rFonts w:ascii="Open Sans" w:hAnsi="Open Sans"/>
                <w:color w:val="55565B"/>
                <w:sz w:val="20"/>
              </w:rPr>
              <w:t xml:space="preserve"> </w:t>
            </w:r>
            <w:r>
              <w:rPr>
                <w:rFonts w:ascii="Open Sans" w:hAnsi="Open Sans"/>
                <w:color w:val="55565B"/>
                <w:sz w:val="20"/>
              </w:rPr>
              <w:t>(lieu de résidence)</w:t>
            </w:r>
            <w:r w:rsidR="00CF4234">
              <w:rPr>
                <w:rFonts w:ascii="Open Sans" w:hAnsi="Open Sans"/>
                <w:color w:val="55565B"/>
                <w:sz w:val="20"/>
              </w:rPr>
              <w:t xml:space="preserve"> </w:t>
            </w:r>
            <w:r w:rsidR="00207A32">
              <w:rPr>
                <w:rFonts w:ascii="Open Sans" w:hAnsi="Open Sans"/>
                <w:color w:val="55565B"/>
                <w:sz w:val="20"/>
              </w:rPr>
              <w:t>___</w:t>
            </w:r>
            <w:r>
              <w:rPr>
                <w:rFonts w:ascii="Open Sans" w:hAnsi="Open Sans"/>
                <w:color w:val="55565B"/>
                <w:sz w:val="20"/>
              </w:rPr>
              <w:t>, arpenteur-géomètre du Manitoba, certifie avoir supervisé personnellement l</w:t>
            </w:r>
            <w:r w:rsidR="00BB1B23">
              <w:rPr>
                <w:rFonts w:ascii="Open Sans" w:hAnsi="Open Sans"/>
                <w:color w:val="55565B"/>
                <w:sz w:val="20"/>
              </w:rPr>
              <w:t>’</w:t>
            </w:r>
            <w:r>
              <w:rPr>
                <w:rFonts w:ascii="Open Sans" w:hAnsi="Open Sans"/>
                <w:color w:val="55565B"/>
                <w:sz w:val="20"/>
              </w:rPr>
              <w:t>arpentage représenté au présent plan, que l</w:t>
            </w:r>
            <w:r w:rsidR="00BB1B23">
              <w:rPr>
                <w:rFonts w:ascii="Open Sans" w:hAnsi="Open Sans"/>
                <w:color w:val="55565B"/>
                <w:sz w:val="20"/>
              </w:rPr>
              <w:t>’</w:t>
            </w:r>
            <w:r>
              <w:rPr>
                <w:rFonts w:ascii="Open Sans" w:hAnsi="Open Sans"/>
                <w:color w:val="55565B"/>
                <w:sz w:val="20"/>
              </w:rPr>
              <w:t>arpentage a été effectué entre les dates du _____________________ 20__ et du ______________________ 20 ___, et que l</w:t>
            </w:r>
            <w:r w:rsidR="00BB1B23">
              <w:rPr>
                <w:rFonts w:ascii="Open Sans" w:hAnsi="Open Sans"/>
                <w:color w:val="55565B"/>
                <w:sz w:val="20"/>
              </w:rPr>
              <w:t>’</w:t>
            </w:r>
            <w:r>
              <w:rPr>
                <w:rFonts w:ascii="Open Sans" w:hAnsi="Open Sans"/>
                <w:color w:val="55565B"/>
                <w:sz w:val="20"/>
              </w:rPr>
              <w:t xml:space="preserve">arpentage et le plan sont, autant que je sache, exacts. </w:t>
            </w:r>
          </w:p>
          <w:p w14:paraId="43E684C0" w14:textId="77777777" w:rsidR="002B06F2" w:rsidRDefault="002B06F2" w:rsidP="00163AB0">
            <w:pPr>
              <w:spacing w:after="0" w:line="240" w:lineRule="auto"/>
              <w:rPr>
                <w:rFonts w:ascii="Open Sans" w:hAnsi="Open Sans" w:cs="Open Sans"/>
                <w:color w:val="55565B"/>
                <w:sz w:val="20"/>
                <w:szCs w:val="20"/>
              </w:rPr>
            </w:pPr>
          </w:p>
          <w:p w14:paraId="7D7F9682" w14:textId="77777777" w:rsidR="002B06F2" w:rsidRDefault="00163AB0" w:rsidP="00163AB0">
            <w:pPr>
              <w:spacing w:after="0" w:line="240" w:lineRule="auto"/>
              <w:jc w:val="right"/>
            </w:pPr>
            <w:r>
              <w:rPr>
                <w:rFonts w:ascii="Open Sans" w:hAnsi="Open Sans"/>
                <w:color w:val="55565B"/>
                <w:sz w:val="20"/>
              </w:rPr>
              <w:t>___________________Arpenteur-géomètre du Manitoba</w:t>
            </w:r>
          </w:p>
          <w:p w14:paraId="22BDF47C" w14:textId="77777777" w:rsidR="002B06F2" w:rsidRDefault="002B06F2" w:rsidP="00163AB0">
            <w:pPr>
              <w:spacing w:after="0" w:line="240" w:lineRule="auto"/>
              <w:jc w:val="right"/>
              <w:rPr>
                <w:rFonts w:ascii="Open Sans" w:hAnsi="Open Sans" w:cs="Open Sans"/>
                <w:color w:val="55565B"/>
                <w:sz w:val="20"/>
                <w:szCs w:val="20"/>
              </w:rPr>
            </w:pPr>
          </w:p>
          <w:p w14:paraId="6C590B3E" w14:textId="77777777" w:rsidR="002B06F2" w:rsidRDefault="00163AB0" w:rsidP="00163AB0">
            <w:pPr>
              <w:spacing w:after="0" w:line="240" w:lineRule="auto"/>
              <w:rPr>
                <w:rFonts w:ascii="Open Sans" w:hAnsi="Open Sans" w:cs="Open Sans"/>
                <w:color w:val="55565B"/>
                <w:sz w:val="20"/>
                <w:szCs w:val="20"/>
              </w:rPr>
            </w:pPr>
            <w:r>
              <w:rPr>
                <w:rFonts w:ascii="Open Sans" w:hAnsi="Open Sans"/>
                <w:color w:val="55565B"/>
                <w:sz w:val="20"/>
              </w:rPr>
              <w:t>Déclaré sous serment devant moi au __________</w:t>
            </w:r>
          </w:p>
          <w:p w14:paraId="2F112D54" w14:textId="77777777" w:rsidR="002B06F2" w:rsidRDefault="00163AB0" w:rsidP="00163AB0">
            <w:pPr>
              <w:spacing w:after="0" w:line="240" w:lineRule="auto"/>
              <w:rPr>
                <w:rFonts w:ascii="Open Sans" w:hAnsi="Open Sans" w:cs="Open Sans"/>
                <w:color w:val="55565B"/>
                <w:sz w:val="20"/>
                <w:szCs w:val="20"/>
              </w:rPr>
            </w:pPr>
            <w:r>
              <w:rPr>
                <w:rFonts w:ascii="Open Sans" w:hAnsi="Open Sans"/>
                <w:color w:val="55565B"/>
                <w:sz w:val="20"/>
              </w:rPr>
              <w:t>Ce ___ jour de _____________ 20____</w:t>
            </w:r>
          </w:p>
          <w:p w14:paraId="4104C742" w14:textId="77777777" w:rsidR="002B06F2" w:rsidRDefault="002B06F2" w:rsidP="00163AB0">
            <w:pPr>
              <w:spacing w:after="0" w:line="240" w:lineRule="auto"/>
              <w:rPr>
                <w:rFonts w:ascii="Open Sans" w:hAnsi="Open Sans" w:cs="Open Sans"/>
                <w:color w:val="55565B"/>
                <w:sz w:val="20"/>
                <w:szCs w:val="20"/>
              </w:rPr>
            </w:pPr>
          </w:p>
          <w:p w14:paraId="6F5CFD59" w14:textId="77777777" w:rsidR="002B06F2" w:rsidRDefault="00163AB0" w:rsidP="00163AB0">
            <w:pPr>
              <w:spacing w:after="0" w:line="240" w:lineRule="auto"/>
              <w:rPr>
                <w:rFonts w:ascii="Open Sans" w:hAnsi="Open Sans" w:cs="Open Sans"/>
                <w:color w:val="55565B"/>
                <w:sz w:val="20"/>
                <w:szCs w:val="20"/>
              </w:rPr>
            </w:pPr>
            <w:r>
              <w:rPr>
                <w:rFonts w:ascii="Open Sans" w:hAnsi="Open Sans"/>
                <w:color w:val="55565B"/>
                <w:sz w:val="20"/>
              </w:rPr>
              <w:t>___________________________________</w:t>
            </w:r>
          </w:p>
          <w:p w14:paraId="5D703F62" w14:textId="77777777" w:rsidR="002B06F2" w:rsidRDefault="002B06F2">
            <w:pPr>
              <w:spacing w:after="0" w:line="240" w:lineRule="auto"/>
              <w:ind w:left="360"/>
              <w:rPr>
                <w:rFonts w:ascii="Open Sans" w:hAnsi="Open Sans" w:cs="Open Sans"/>
                <w:color w:val="55565B"/>
                <w:sz w:val="20"/>
                <w:szCs w:val="20"/>
              </w:rPr>
            </w:pPr>
          </w:p>
        </w:tc>
      </w:tr>
      <w:tr w:rsidR="002B06F2" w14:paraId="423610F4" w14:textId="77777777">
        <w:trPr>
          <w:trHeight w:val="109"/>
        </w:trPr>
        <w:tc>
          <w:tcPr>
            <w:tcW w:w="3681" w:type="dxa"/>
            <w:tcMar>
              <w:top w:w="0" w:type="dxa"/>
              <w:left w:w="108" w:type="dxa"/>
              <w:bottom w:w="0" w:type="dxa"/>
              <w:right w:w="108" w:type="dxa"/>
            </w:tcMar>
          </w:tcPr>
          <w:p w14:paraId="498BA088" w14:textId="1D72B53C" w:rsidR="002B06F2" w:rsidRDefault="00163AB0">
            <w:pPr>
              <w:spacing w:after="0" w:line="240" w:lineRule="auto"/>
            </w:pPr>
            <w:r>
              <w:rPr>
                <w:rFonts w:ascii="Open Sans" w:hAnsi="Open Sans"/>
                <w:color w:val="55565B"/>
                <w:sz w:val="20"/>
              </w:rPr>
              <w:t xml:space="preserve">UN ARPENTEUR-GÉOMÈTRE AUTORISÉ À EXERCER EN VERTU DE </w:t>
            </w:r>
            <w:r>
              <w:rPr>
                <w:rFonts w:ascii="Open Sans" w:hAnsi="Open Sans"/>
                <w:i/>
                <w:color w:val="55565B"/>
                <w:sz w:val="20"/>
              </w:rPr>
              <w:t>LA</w:t>
            </w:r>
            <w:r>
              <w:rPr>
                <w:rFonts w:ascii="Open Sans" w:hAnsi="Open Sans"/>
                <w:color w:val="55565B"/>
                <w:sz w:val="20"/>
              </w:rPr>
              <w:t xml:space="preserve"> </w:t>
            </w:r>
            <w:r>
              <w:rPr>
                <w:rFonts w:ascii="Open Sans" w:hAnsi="Open Sans"/>
                <w:i/>
                <w:color w:val="55565B"/>
                <w:sz w:val="20"/>
              </w:rPr>
              <w:t>LOI SUR LES ARPENTEURS-GÉOMÈTRES</w:t>
            </w:r>
          </w:p>
        </w:tc>
        <w:tc>
          <w:tcPr>
            <w:tcW w:w="1417" w:type="dxa"/>
            <w:tcMar>
              <w:top w:w="0" w:type="dxa"/>
              <w:left w:w="108" w:type="dxa"/>
              <w:bottom w:w="0" w:type="dxa"/>
              <w:right w:w="108" w:type="dxa"/>
            </w:tcMar>
          </w:tcPr>
          <w:p w14:paraId="0C9A4AC4" w14:textId="77777777" w:rsidR="002B06F2" w:rsidRDefault="00163AB0">
            <w:pPr>
              <w:spacing w:after="0" w:line="240" w:lineRule="auto"/>
              <w:jc w:val="both"/>
              <w:rPr>
                <w:rFonts w:ascii="Open Sans" w:hAnsi="Open Sans" w:cs="Open Sans"/>
                <w:color w:val="55565B"/>
                <w:sz w:val="22"/>
                <w:szCs w:val="22"/>
              </w:rPr>
            </w:pPr>
            <w:r>
              <w:rPr>
                <w:rFonts w:ascii="Open Sans" w:hAnsi="Open Sans"/>
                <w:color w:val="55565B"/>
                <w:sz w:val="22"/>
              </w:rPr>
              <w:t>OU</w:t>
            </w:r>
          </w:p>
        </w:tc>
        <w:tc>
          <w:tcPr>
            <w:tcW w:w="4252" w:type="dxa"/>
            <w:tcMar>
              <w:top w:w="0" w:type="dxa"/>
              <w:left w:w="108" w:type="dxa"/>
              <w:bottom w:w="0" w:type="dxa"/>
              <w:right w:w="108" w:type="dxa"/>
            </w:tcMar>
          </w:tcPr>
          <w:p w14:paraId="1632EE03" w14:textId="77777777" w:rsidR="002B06F2" w:rsidRDefault="00163AB0">
            <w:pPr>
              <w:spacing w:after="0" w:line="240" w:lineRule="auto"/>
              <w:rPr>
                <w:rFonts w:ascii="Open Sans" w:hAnsi="Open Sans" w:cs="Open Sans"/>
                <w:color w:val="55565B"/>
                <w:sz w:val="20"/>
                <w:szCs w:val="20"/>
              </w:rPr>
            </w:pPr>
            <w:r>
              <w:rPr>
                <w:rFonts w:ascii="Open Sans" w:hAnsi="Open Sans"/>
                <w:color w:val="55565B"/>
                <w:sz w:val="20"/>
              </w:rPr>
              <w:t>UN COMMISSAIRE À L’ASSERMENTATION AU MANITOBA</w:t>
            </w:r>
          </w:p>
          <w:p w14:paraId="3AE1B465" w14:textId="77777777" w:rsidR="002B06F2" w:rsidRDefault="00163AB0">
            <w:pPr>
              <w:spacing w:after="0" w:line="240" w:lineRule="auto"/>
              <w:rPr>
                <w:rFonts w:ascii="Open Sans" w:hAnsi="Open Sans" w:cs="Open Sans"/>
                <w:color w:val="55565B"/>
                <w:sz w:val="20"/>
                <w:szCs w:val="20"/>
              </w:rPr>
            </w:pPr>
            <w:r>
              <w:rPr>
                <w:rFonts w:ascii="Open Sans" w:hAnsi="Open Sans"/>
                <w:color w:val="55565B"/>
                <w:sz w:val="20"/>
              </w:rPr>
              <w:t>MA COMMISSION PREND FIN LE : _________________</w:t>
            </w:r>
          </w:p>
          <w:p w14:paraId="7FD24F38" w14:textId="77777777" w:rsidR="002B06F2" w:rsidRDefault="002B06F2">
            <w:pPr>
              <w:spacing w:after="0" w:line="240" w:lineRule="auto"/>
              <w:rPr>
                <w:rFonts w:ascii="Open Sans" w:hAnsi="Open Sans" w:cs="Open Sans"/>
                <w:color w:val="55565B"/>
                <w:sz w:val="20"/>
                <w:szCs w:val="20"/>
              </w:rPr>
            </w:pPr>
          </w:p>
        </w:tc>
      </w:tr>
      <w:tr w:rsidR="002B06F2" w14:paraId="057923BB" w14:textId="77777777">
        <w:trPr>
          <w:trHeight w:val="109"/>
        </w:trPr>
        <w:tc>
          <w:tcPr>
            <w:tcW w:w="3681" w:type="dxa"/>
            <w:tcMar>
              <w:top w:w="0" w:type="dxa"/>
              <w:left w:w="108" w:type="dxa"/>
              <w:bottom w:w="0" w:type="dxa"/>
              <w:right w:w="108" w:type="dxa"/>
            </w:tcMar>
          </w:tcPr>
          <w:p w14:paraId="2F3532FD" w14:textId="77777777" w:rsidR="002B06F2" w:rsidRDefault="002B06F2">
            <w:pPr>
              <w:pStyle w:val="ListParagraph"/>
              <w:spacing w:after="0" w:line="240" w:lineRule="auto"/>
              <w:ind w:left="360"/>
              <w:rPr>
                <w:rFonts w:ascii="Open Sans" w:hAnsi="Open Sans" w:cs="Open Sans"/>
                <w:color w:val="55565B"/>
                <w:sz w:val="20"/>
                <w:szCs w:val="20"/>
              </w:rPr>
            </w:pPr>
          </w:p>
        </w:tc>
        <w:tc>
          <w:tcPr>
            <w:tcW w:w="1417" w:type="dxa"/>
            <w:tcMar>
              <w:top w:w="0" w:type="dxa"/>
              <w:left w:w="108" w:type="dxa"/>
              <w:bottom w:w="0" w:type="dxa"/>
              <w:right w:w="108" w:type="dxa"/>
            </w:tcMar>
          </w:tcPr>
          <w:p w14:paraId="26F1DF4A" w14:textId="77777777" w:rsidR="002B06F2" w:rsidRDefault="002B06F2">
            <w:pPr>
              <w:spacing w:after="0" w:line="240" w:lineRule="auto"/>
              <w:jc w:val="both"/>
              <w:rPr>
                <w:rFonts w:ascii="Open Sans" w:hAnsi="Open Sans" w:cs="Open Sans"/>
                <w:color w:val="55565B"/>
                <w:sz w:val="22"/>
                <w:szCs w:val="22"/>
              </w:rPr>
            </w:pPr>
          </w:p>
        </w:tc>
        <w:tc>
          <w:tcPr>
            <w:tcW w:w="4252" w:type="dxa"/>
            <w:tcMar>
              <w:top w:w="0" w:type="dxa"/>
              <w:left w:w="108" w:type="dxa"/>
              <w:bottom w:w="0" w:type="dxa"/>
              <w:right w:w="108" w:type="dxa"/>
            </w:tcMar>
          </w:tcPr>
          <w:p w14:paraId="280FE962" w14:textId="77777777" w:rsidR="002B06F2" w:rsidRDefault="002B06F2">
            <w:pPr>
              <w:spacing w:after="0" w:line="240" w:lineRule="auto"/>
              <w:rPr>
                <w:rFonts w:ascii="Open Sans" w:hAnsi="Open Sans" w:cs="Open Sans"/>
                <w:color w:val="55565B"/>
                <w:sz w:val="20"/>
                <w:szCs w:val="20"/>
              </w:rPr>
            </w:pPr>
          </w:p>
        </w:tc>
      </w:tr>
    </w:tbl>
    <w:p w14:paraId="5B3D4A3B" w14:textId="2BDC25FF" w:rsidR="002B06F2" w:rsidRDefault="00163AB0">
      <w:pPr>
        <w:pStyle w:val="ListParagraph"/>
        <w:numPr>
          <w:ilvl w:val="0"/>
          <w:numId w:val="16"/>
        </w:numPr>
        <w:rPr>
          <w:rFonts w:ascii="Open Sans" w:hAnsi="Open Sans" w:cs="Open Sans"/>
          <w:color w:val="55565B"/>
          <w:sz w:val="20"/>
          <w:szCs w:val="20"/>
        </w:rPr>
      </w:pPr>
      <w:r>
        <w:rPr>
          <w:rFonts w:ascii="Open Sans" w:hAnsi="Open Sans"/>
          <w:color w:val="55565B"/>
          <w:sz w:val="20"/>
        </w:rPr>
        <w:t>Les dates de l’arpentage sont indiquées.</w:t>
      </w:r>
    </w:p>
    <w:p w14:paraId="59559ECF" w14:textId="37AA6CA6" w:rsidR="002B06F2" w:rsidRDefault="00163AB0">
      <w:pPr>
        <w:pStyle w:val="ListParagraph"/>
        <w:numPr>
          <w:ilvl w:val="0"/>
          <w:numId w:val="16"/>
        </w:numPr>
      </w:pPr>
      <w:r>
        <w:rPr>
          <w:rFonts w:ascii="Open Sans" w:hAnsi="Open Sans"/>
          <w:color w:val="55565B"/>
          <w:sz w:val="20"/>
        </w:rPr>
        <w:t>On n’a pas utilisé d’abréviations.</w:t>
      </w:r>
    </w:p>
    <w:p w14:paraId="44BA622F" w14:textId="02476B1A" w:rsidR="002B06F2" w:rsidRDefault="00163AB0">
      <w:pPr>
        <w:pStyle w:val="ListParagraph"/>
        <w:numPr>
          <w:ilvl w:val="0"/>
          <w:numId w:val="16"/>
        </w:numPr>
      </w:pPr>
      <w:r>
        <w:rPr>
          <w:rFonts w:ascii="Open Sans" w:hAnsi="Open Sans"/>
          <w:color w:val="55565B"/>
          <w:sz w:val="20"/>
        </w:rPr>
        <w:t>La désignation du commissaire à l</w:t>
      </w:r>
      <w:r w:rsidR="00BB1B23">
        <w:rPr>
          <w:rFonts w:ascii="Open Sans" w:hAnsi="Open Sans"/>
          <w:color w:val="55565B"/>
          <w:sz w:val="20"/>
        </w:rPr>
        <w:t>’</w:t>
      </w:r>
      <w:r>
        <w:rPr>
          <w:rFonts w:ascii="Open Sans" w:hAnsi="Open Sans"/>
          <w:color w:val="55565B"/>
          <w:sz w:val="20"/>
        </w:rPr>
        <w:t>assermentation est en vigueur (le cas échéant).</w:t>
      </w:r>
    </w:p>
    <w:p w14:paraId="2F2B4072" w14:textId="77777777" w:rsidR="009533FD" w:rsidRDefault="00163AB0">
      <w:pPr>
        <w:pStyle w:val="Heading1"/>
        <w:spacing w:line="240" w:lineRule="auto"/>
        <w:jc w:val="center"/>
        <w:rPr>
          <w:rFonts w:ascii="Open Sans" w:hAnsi="Open Sans"/>
          <w:b/>
          <w:color w:val="55565B"/>
          <w:sz w:val="28"/>
        </w:rPr>
      </w:pPr>
      <w:r>
        <w:rPr>
          <w:rFonts w:ascii="Open Sans" w:hAnsi="Open Sans"/>
          <w:b/>
          <w:color w:val="55565B"/>
          <w:sz w:val="28"/>
        </w:rPr>
        <w:t xml:space="preserve"> </w:t>
      </w:r>
    </w:p>
    <w:p w14:paraId="1D2CE7B8" w14:textId="77777777" w:rsidR="009533FD" w:rsidRDefault="009533FD">
      <w:pPr>
        <w:suppressAutoHyphens w:val="0"/>
        <w:rPr>
          <w:rFonts w:ascii="Open Sans" w:eastAsia="Yu Gothic Light" w:hAnsi="Open Sans" w:cs="Times New Roman"/>
          <w:b/>
          <w:color w:val="55565B"/>
          <w:sz w:val="28"/>
          <w:szCs w:val="40"/>
        </w:rPr>
      </w:pPr>
      <w:r>
        <w:rPr>
          <w:rFonts w:ascii="Open Sans" w:hAnsi="Open Sans"/>
          <w:b/>
          <w:color w:val="55565B"/>
          <w:sz w:val="28"/>
        </w:rPr>
        <w:br w:type="page"/>
      </w:r>
    </w:p>
    <w:p w14:paraId="3D558FFF" w14:textId="29542C1C" w:rsidR="002B06F2" w:rsidRPr="00F20B33" w:rsidRDefault="00163AB0">
      <w:pPr>
        <w:pStyle w:val="Heading1"/>
        <w:spacing w:line="240" w:lineRule="auto"/>
        <w:jc w:val="center"/>
        <w:rPr>
          <w:sz w:val="16"/>
          <w:szCs w:val="16"/>
        </w:rPr>
      </w:pPr>
      <w:r>
        <w:rPr>
          <w:rFonts w:ascii="Open Sans" w:hAnsi="Open Sans"/>
          <w:b/>
          <w:color w:val="55565B"/>
          <w:sz w:val="28"/>
        </w:rPr>
        <w:lastRenderedPageBreak/>
        <w:t xml:space="preserve">Approbations des extraits </w:t>
      </w:r>
      <w:r>
        <w:rPr>
          <w:rFonts w:ascii="Open Sans" w:hAnsi="Open Sans"/>
          <w:color w:val="55565B"/>
          <w:sz w:val="28"/>
        </w:rPr>
        <w:t>(chapitre 8 des ISP)</w:t>
      </w:r>
      <w:r>
        <w:rPr>
          <w:rFonts w:ascii="Open Sans" w:hAnsi="Open Sans"/>
          <w:b/>
          <w:color w:val="55565B"/>
          <w:sz w:val="32"/>
        </w:rPr>
        <w:br/>
      </w:r>
    </w:p>
    <w:tbl>
      <w:tblPr>
        <w:tblW w:w="9350" w:type="dxa"/>
        <w:tblLayout w:type="fixed"/>
        <w:tblCellMar>
          <w:left w:w="10" w:type="dxa"/>
          <w:right w:w="10" w:type="dxa"/>
        </w:tblCellMar>
        <w:tblLook w:val="04A0" w:firstRow="1" w:lastRow="0" w:firstColumn="1" w:lastColumn="0" w:noHBand="0" w:noVBand="1"/>
      </w:tblPr>
      <w:tblGrid>
        <w:gridCol w:w="3116"/>
        <w:gridCol w:w="1559"/>
        <w:gridCol w:w="1558"/>
        <w:gridCol w:w="3117"/>
      </w:tblGrid>
      <w:tr w:rsidR="002B06F2" w14:paraId="2657B051" w14:textId="77777777">
        <w:tc>
          <w:tcPr>
            <w:tcW w:w="9350" w:type="dxa"/>
            <w:gridSpan w:val="4"/>
            <w:tcMar>
              <w:top w:w="0" w:type="dxa"/>
              <w:left w:w="108" w:type="dxa"/>
              <w:bottom w:w="0" w:type="dxa"/>
              <w:right w:w="108" w:type="dxa"/>
            </w:tcMar>
          </w:tcPr>
          <w:p w14:paraId="16820B32" w14:textId="283DD0E7" w:rsidR="002B06F2" w:rsidRDefault="00163AB0">
            <w:pPr>
              <w:pStyle w:val="ListParagraph"/>
              <w:numPr>
                <w:ilvl w:val="0"/>
                <w:numId w:val="17"/>
              </w:numPr>
              <w:spacing w:after="0" w:line="240" w:lineRule="auto"/>
            </w:pPr>
            <w:r>
              <w:rPr>
                <w:rFonts w:ascii="Open Sans" w:hAnsi="Open Sans"/>
                <w:color w:val="55565B"/>
                <w:sz w:val="20"/>
              </w:rPr>
              <w:t>L’extrait du propriétaire inscrit est préparé conformément au point 8.2.1 des ISP.</w:t>
            </w:r>
            <w:r>
              <w:rPr>
                <w:rFonts w:ascii="Open Sans" w:hAnsi="Open Sans"/>
                <w:color w:val="55565B"/>
                <w:sz w:val="20"/>
              </w:rPr>
              <w:br/>
            </w:r>
          </w:p>
          <w:p w14:paraId="15F443AD" w14:textId="1187F7E5" w:rsidR="002B06F2" w:rsidRDefault="00163AB0">
            <w:pPr>
              <w:pStyle w:val="ListParagraph"/>
              <w:numPr>
                <w:ilvl w:val="0"/>
                <w:numId w:val="17"/>
              </w:numPr>
              <w:spacing w:after="0" w:line="240" w:lineRule="auto"/>
            </w:pPr>
            <w:r>
              <w:rPr>
                <w:rFonts w:ascii="Open Sans" w:hAnsi="Open Sans"/>
                <w:color w:val="55565B"/>
                <w:sz w:val="20"/>
              </w:rPr>
              <w:t>L’approbation du registraire général est préparée conformément au point 8.1.3 des ISP.</w:t>
            </w:r>
            <w:r>
              <w:rPr>
                <w:rFonts w:ascii="Open Sans" w:hAnsi="Open Sans"/>
                <w:color w:val="55565B"/>
                <w:sz w:val="20"/>
              </w:rPr>
              <w:br/>
            </w:r>
          </w:p>
          <w:p w14:paraId="56D4F466" w14:textId="1360D45C" w:rsidR="002B06F2" w:rsidRDefault="00163AB0">
            <w:pPr>
              <w:pStyle w:val="ListParagraph"/>
              <w:numPr>
                <w:ilvl w:val="0"/>
                <w:numId w:val="17"/>
              </w:numPr>
              <w:spacing w:after="0" w:line="240" w:lineRule="auto"/>
              <w:rPr>
                <w:rFonts w:ascii="Open Sans" w:hAnsi="Open Sans" w:cs="Open Sans"/>
                <w:color w:val="55565B"/>
                <w:sz w:val="20"/>
                <w:szCs w:val="20"/>
              </w:rPr>
            </w:pPr>
            <w:r>
              <w:rPr>
                <w:rFonts w:ascii="Open Sans" w:hAnsi="Open Sans"/>
                <w:color w:val="55565B"/>
                <w:sz w:val="20"/>
              </w:rPr>
              <w:t>L’extrait de l’enregistrement est préparé conformément aux points 9.1.7 et 8 des ISP.</w:t>
            </w:r>
            <w:r>
              <w:rPr>
                <w:rFonts w:ascii="Open Sans" w:hAnsi="Open Sans"/>
                <w:color w:val="55565B"/>
                <w:sz w:val="20"/>
              </w:rPr>
              <w:br/>
            </w:r>
          </w:p>
          <w:p w14:paraId="42B0E1DE" w14:textId="77777777" w:rsidR="002B06F2" w:rsidRDefault="00163AB0">
            <w:pPr>
              <w:pStyle w:val="ListParagraph"/>
              <w:numPr>
                <w:ilvl w:val="0"/>
                <w:numId w:val="17"/>
              </w:numPr>
              <w:spacing w:after="0" w:line="240" w:lineRule="auto"/>
              <w:rPr>
                <w:rFonts w:ascii="Open Sans" w:hAnsi="Open Sans" w:cs="Open Sans"/>
                <w:color w:val="55565B"/>
                <w:sz w:val="20"/>
                <w:szCs w:val="20"/>
              </w:rPr>
            </w:pPr>
            <w:r>
              <w:rPr>
                <w:rFonts w:ascii="Open Sans" w:hAnsi="Open Sans"/>
                <w:color w:val="55565B"/>
                <w:sz w:val="20"/>
              </w:rPr>
              <w:t>L’extrait de l’enregistrement indique le district des titres fonciers.</w:t>
            </w:r>
            <w:r>
              <w:rPr>
                <w:rFonts w:ascii="Open Sans" w:hAnsi="Open Sans"/>
                <w:color w:val="55565B"/>
                <w:sz w:val="20"/>
              </w:rPr>
              <w:br/>
            </w:r>
          </w:p>
          <w:p w14:paraId="16D5E24F" w14:textId="36867711" w:rsidR="002B06F2" w:rsidRDefault="00163AB0">
            <w:pPr>
              <w:pStyle w:val="ListParagraph"/>
              <w:numPr>
                <w:ilvl w:val="0"/>
                <w:numId w:val="17"/>
              </w:numPr>
              <w:spacing w:after="0" w:line="240" w:lineRule="auto"/>
              <w:rPr>
                <w:rFonts w:ascii="Open Sans" w:hAnsi="Open Sans" w:cs="Open Sans"/>
                <w:color w:val="55565B"/>
                <w:sz w:val="20"/>
                <w:szCs w:val="20"/>
              </w:rPr>
            </w:pPr>
            <w:r>
              <w:rPr>
                <w:rFonts w:ascii="Open Sans" w:hAnsi="Open Sans"/>
                <w:color w:val="55565B"/>
                <w:sz w:val="20"/>
              </w:rPr>
              <w:t>L’approbation du vérificateur des levés est préparée conformément au point 8.1.2 des ISP.</w:t>
            </w:r>
            <w:r>
              <w:rPr>
                <w:rFonts w:ascii="Open Sans" w:hAnsi="Open Sans"/>
                <w:color w:val="55565B"/>
                <w:sz w:val="20"/>
              </w:rPr>
              <w:br/>
            </w:r>
          </w:p>
        </w:tc>
      </w:tr>
      <w:tr w:rsidR="002B06F2" w14:paraId="0D5C5583" w14:textId="77777777">
        <w:trPr>
          <w:trHeight w:val="1417"/>
        </w:trPr>
        <w:tc>
          <w:tcPr>
            <w:tcW w:w="3116" w:type="dxa"/>
            <w:tcMar>
              <w:top w:w="0" w:type="dxa"/>
              <w:left w:w="108" w:type="dxa"/>
              <w:bottom w:w="0" w:type="dxa"/>
              <w:right w:w="108" w:type="dxa"/>
            </w:tcMar>
          </w:tcPr>
          <w:p w14:paraId="0D13CF12" w14:textId="473E87CB" w:rsidR="002B06F2" w:rsidRDefault="00163AB0">
            <w:pPr>
              <w:pStyle w:val="ListParagraph"/>
              <w:numPr>
                <w:ilvl w:val="0"/>
                <w:numId w:val="18"/>
              </w:numPr>
              <w:spacing w:after="0" w:line="240" w:lineRule="auto"/>
            </w:pPr>
            <w:r>
              <w:rPr>
                <w:rFonts w:ascii="Open Sans" w:hAnsi="Open Sans"/>
                <w:color w:val="55565B"/>
                <w:sz w:val="20"/>
              </w:rPr>
              <w:t>L’approbation de l’autorité chargée de l</w:t>
            </w:r>
            <w:r w:rsidR="00BB1B23">
              <w:rPr>
                <w:rFonts w:ascii="Open Sans" w:hAnsi="Open Sans"/>
                <w:color w:val="55565B"/>
                <w:sz w:val="20"/>
              </w:rPr>
              <w:t>’</w:t>
            </w:r>
            <w:r>
              <w:rPr>
                <w:rFonts w:ascii="Open Sans" w:hAnsi="Open Sans"/>
                <w:color w:val="55565B"/>
                <w:sz w:val="20"/>
              </w:rPr>
              <w:t>aménagement du territoire est préparée conformément au point 8.2.3 des ISP.</w:t>
            </w:r>
          </w:p>
        </w:tc>
        <w:tc>
          <w:tcPr>
            <w:tcW w:w="3117" w:type="dxa"/>
            <w:gridSpan w:val="2"/>
            <w:tcMar>
              <w:top w:w="0" w:type="dxa"/>
              <w:left w:w="108" w:type="dxa"/>
              <w:bottom w:w="0" w:type="dxa"/>
              <w:right w:w="108" w:type="dxa"/>
            </w:tcMar>
          </w:tcPr>
          <w:p w14:paraId="4BFBAF7E" w14:textId="44EC4100" w:rsidR="002B06F2" w:rsidRDefault="00163AB0">
            <w:pPr>
              <w:pStyle w:val="ListParagraph"/>
              <w:numPr>
                <w:ilvl w:val="0"/>
                <w:numId w:val="18"/>
              </w:numPr>
              <w:spacing w:after="0" w:line="240" w:lineRule="auto"/>
            </w:pPr>
            <w:r>
              <w:rPr>
                <w:rFonts w:ascii="Open Sans" w:hAnsi="Open Sans"/>
                <w:color w:val="55565B"/>
                <w:sz w:val="20"/>
              </w:rPr>
              <w:t>L’approbation de la Ville de Winnipeg est préparée conformément au point 8.2.2 des ISP.</w:t>
            </w:r>
          </w:p>
          <w:p w14:paraId="11885955" w14:textId="77777777" w:rsidR="002B06F2" w:rsidRDefault="002B06F2">
            <w:pPr>
              <w:spacing w:after="0" w:line="240" w:lineRule="auto"/>
              <w:rPr>
                <w:rFonts w:ascii="Open Sans" w:hAnsi="Open Sans" w:cs="Open Sans"/>
                <w:b/>
                <w:bCs/>
                <w:color w:val="55565B"/>
                <w:sz w:val="20"/>
                <w:szCs w:val="20"/>
              </w:rPr>
            </w:pPr>
          </w:p>
        </w:tc>
        <w:tc>
          <w:tcPr>
            <w:tcW w:w="3117" w:type="dxa"/>
            <w:tcMar>
              <w:top w:w="0" w:type="dxa"/>
              <w:left w:w="108" w:type="dxa"/>
              <w:bottom w:w="0" w:type="dxa"/>
              <w:right w:w="108" w:type="dxa"/>
            </w:tcMar>
          </w:tcPr>
          <w:p w14:paraId="36D7BC37" w14:textId="4FD468D2" w:rsidR="002B06F2" w:rsidRDefault="00163AB0">
            <w:pPr>
              <w:pStyle w:val="ListParagraph"/>
              <w:numPr>
                <w:ilvl w:val="0"/>
                <w:numId w:val="18"/>
              </w:numPr>
              <w:spacing w:after="0" w:line="240" w:lineRule="auto"/>
            </w:pPr>
            <w:r>
              <w:rPr>
                <w:rFonts w:ascii="Open Sans" w:hAnsi="Open Sans"/>
                <w:color w:val="55565B"/>
                <w:sz w:val="20"/>
              </w:rPr>
              <w:t>L</w:t>
            </w:r>
            <w:r w:rsidR="00BB1B23">
              <w:rPr>
                <w:rFonts w:ascii="Open Sans" w:hAnsi="Open Sans"/>
                <w:color w:val="55565B"/>
                <w:sz w:val="20"/>
              </w:rPr>
              <w:t>’</w:t>
            </w:r>
            <w:r>
              <w:rPr>
                <w:rFonts w:ascii="Open Sans" w:hAnsi="Open Sans"/>
                <w:color w:val="55565B"/>
                <w:sz w:val="20"/>
              </w:rPr>
              <w:t>approbation de l</w:t>
            </w:r>
            <w:r w:rsidR="00BB1B23">
              <w:rPr>
                <w:rFonts w:ascii="Open Sans" w:hAnsi="Open Sans"/>
                <w:color w:val="55565B"/>
                <w:sz w:val="20"/>
              </w:rPr>
              <w:t>’</w:t>
            </w:r>
            <w:r>
              <w:rPr>
                <w:rFonts w:ascii="Open Sans" w:hAnsi="Open Sans"/>
                <w:color w:val="55565B"/>
                <w:sz w:val="20"/>
              </w:rPr>
              <w:t>autorité chargée de l</w:t>
            </w:r>
            <w:r w:rsidR="00BB1B23">
              <w:rPr>
                <w:rFonts w:ascii="Open Sans" w:hAnsi="Open Sans"/>
                <w:color w:val="55565B"/>
                <w:sz w:val="20"/>
              </w:rPr>
              <w:t>’</w:t>
            </w:r>
            <w:r>
              <w:rPr>
                <w:rFonts w:ascii="Open Sans" w:hAnsi="Open Sans"/>
                <w:color w:val="55565B"/>
                <w:sz w:val="20"/>
              </w:rPr>
              <w:t>aménagement du territoire n</w:t>
            </w:r>
            <w:r w:rsidR="00BB1B23">
              <w:rPr>
                <w:rFonts w:ascii="Open Sans" w:hAnsi="Open Sans"/>
                <w:color w:val="55565B"/>
                <w:sz w:val="20"/>
              </w:rPr>
              <w:t>’</w:t>
            </w:r>
            <w:r>
              <w:rPr>
                <w:rFonts w:ascii="Open Sans" w:hAnsi="Open Sans"/>
                <w:color w:val="55565B"/>
                <w:sz w:val="20"/>
              </w:rPr>
              <w:t>est pas requise en vertu de l</w:t>
            </w:r>
            <w:r w:rsidR="00BB1B23">
              <w:rPr>
                <w:rFonts w:ascii="Open Sans" w:hAnsi="Open Sans"/>
                <w:color w:val="55565B"/>
                <w:sz w:val="20"/>
              </w:rPr>
              <w:t>’</w:t>
            </w:r>
            <w:r>
              <w:rPr>
                <w:rFonts w:ascii="Open Sans" w:hAnsi="Open Sans"/>
                <w:color w:val="55565B"/>
                <w:sz w:val="20"/>
              </w:rPr>
              <w:t xml:space="preserve">article suivant de la </w:t>
            </w:r>
            <w:r>
              <w:rPr>
                <w:rFonts w:ascii="Open Sans" w:hAnsi="Open Sans"/>
                <w:i/>
                <w:color w:val="55565B"/>
                <w:sz w:val="20"/>
              </w:rPr>
              <w:t>Loi sur l</w:t>
            </w:r>
            <w:r w:rsidR="00BB1B23">
              <w:rPr>
                <w:rFonts w:ascii="Open Sans" w:hAnsi="Open Sans"/>
                <w:i/>
                <w:color w:val="55565B"/>
                <w:sz w:val="20"/>
              </w:rPr>
              <w:t>’</w:t>
            </w:r>
            <w:r>
              <w:rPr>
                <w:rFonts w:ascii="Open Sans" w:hAnsi="Open Sans"/>
                <w:i/>
                <w:color w:val="55565B"/>
                <w:sz w:val="20"/>
              </w:rPr>
              <w:t>aménagement du territoire</w:t>
            </w:r>
            <w:r>
              <w:rPr>
                <w:rFonts w:ascii="Open Sans" w:hAnsi="Open Sans"/>
                <w:color w:val="55565B"/>
                <w:sz w:val="20"/>
              </w:rPr>
              <w:t xml:space="preserve"> ou de </w:t>
            </w:r>
            <w:r>
              <w:rPr>
                <w:rFonts w:ascii="Open Sans" w:hAnsi="Open Sans"/>
                <w:i/>
                <w:color w:val="55565B"/>
                <w:sz w:val="20"/>
              </w:rPr>
              <w:t>la</w:t>
            </w:r>
            <w:r>
              <w:rPr>
                <w:rFonts w:ascii="Open Sans" w:hAnsi="Open Sans"/>
                <w:color w:val="55565B"/>
                <w:sz w:val="20"/>
              </w:rPr>
              <w:t xml:space="preserve"> </w:t>
            </w:r>
            <w:r>
              <w:rPr>
                <w:rFonts w:ascii="Open Sans" w:hAnsi="Open Sans"/>
                <w:i/>
                <w:color w:val="55565B"/>
                <w:sz w:val="20"/>
              </w:rPr>
              <w:t>Charte de la ville de Winnipeg</w:t>
            </w:r>
            <w:r>
              <w:rPr>
                <w:rFonts w:ascii="Open Sans" w:hAnsi="Open Sans"/>
                <w:color w:val="55565B"/>
                <w:sz w:val="20"/>
              </w:rPr>
              <w:t> : ____________________________</w:t>
            </w:r>
            <w:r>
              <w:rPr>
                <w:rFonts w:ascii="Open Sans" w:hAnsi="Open Sans"/>
                <w:color w:val="55565B"/>
                <w:sz w:val="20"/>
              </w:rPr>
              <w:br/>
            </w:r>
          </w:p>
        </w:tc>
      </w:tr>
      <w:tr w:rsidR="002B06F2" w14:paraId="562A9BAA" w14:textId="77777777">
        <w:tc>
          <w:tcPr>
            <w:tcW w:w="4675" w:type="dxa"/>
            <w:gridSpan w:val="2"/>
            <w:tcMar>
              <w:top w:w="0" w:type="dxa"/>
              <w:left w:w="108" w:type="dxa"/>
              <w:bottom w:w="0" w:type="dxa"/>
              <w:right w:w="108" w:type="dxa"/>
            </w:tcMar>
          </w:tcPr>
          <w:p w14:paraId="2A4939AA" w14:textId="247DBA51" w:rsidR="002B06F2" w:rsidRDefault="00163AB0">
            <w:pPr>
              <w:pStyle w:val="ListParagraph"/>
              <w:numPr>
                <w:ilvl w:val="0"/>
                <w:numId w:val="19"/>
              </w:numPr>
              <w:spacing w:after="0" w:line="240" w:lineRule="auto"/>
            </w:pPr>
            <w:r>
              <w:rPr>
                <w:rFonts w:ascii="Open Sans" w:hAnsi="Open Sans"/>
                <w:color w:val="55565B"/>
                <w:sz w:val="20"/>
              </w:rPr>
              <w:t>Des terres domaniales du Manitoba sont concernées et l</w:t>
            </w:r>
            <w:r w:rsidR="00BB1B23">
              <w:rPr>
                <w:rFonts w:ascii="Open Sans" w:hAnsi="Open Sans"/>
                <w:color w:val="55565B"/>
                <w:sz w:val="20"/>
              </w:rPr>
              <w:t>’</w:t>
            </w:r>
            <w:r>
              <w:rPr>
                <w:rFonts w:ascii="Open Sans" w:hAnsi="Open Sans"/>
                <w:color w:val="55565B"/>
                <w:sz w:val="20"/>
              </w:rPr>
              <w:t>approbation du directeur des levés est indiquée.</w:t>
            </w:r>
          </w:p>
        </w:tc>
        <w:tc>
          <w:tcPr>
            <w:tcW w:w="4675" w:type="dxa"/>
            <w:gridSpan w:val="2"/>
            <w:tcMar>
              <w:top w:w="0" w:type="dxa"/>
              <w:left w:w="108" w:type="dxa"/>
              <w:bottom w:w="0" w:type="dxa"/>
              <w:right w:w="108" w:type="dxa"/>
            </w:tcMar>
          </w:tcPr>
          <w:p w14:paraId="5635F5A4" w14:textId="66ED3EF1" w:rsidR="002B06F2" w:rsidRDefault="00163AB0">
            <w:pPr>
              <w:pStyle w:val="ListParagraph"/>
              <w:numPr>
                <w:ilvl w:val="0"/>
                <w:numId w:val="19"/>
              </w:numPr>
              <w:spacing w:after="0" w:line="240" w:lineRule="auto"/>
              <w:rPr>
                <w:rFonts w:ascii="Open Sans" w:hAnsi="Open Sans" w:cs="Open Sans"/>
                <w:color w:val="55565B"/>
                <w:sz w:val="20"/>
                <w:szCs w:val="20"/>
              </w:rPr>
            </w:pPr>
            <w:r>
              <w:rPr>
                <w:rFonts w:ascii="Open Sans" w:hAnsi="Open Sans"/>
                <w:color w:val="55565B"/>
                <w:sz w:val="20"/>
              </w:rPr>
              <w:t>Aucune terre domaniale du Manitoba n</w:t>
            </w:r>
            <w:r w:rsidR="00BB1B23">
              <w:rPr>
                <w:rFonts w:ascii="Open Sans" w:hAnsi="Open Sans"/>
                <w:color w:val="55565B"/>
                <w:sz w:val="20"/>
              </w:rPr>
              <w:t>’</w:t>
            </w:r>
            <w:r>
              <w:rPr>
                <w:rFonts w:ascii="Open Sans" w:hAnsi="Open Sans"/>
                <w:color w:val="55565B"/>
                <w:sz w:val="20"/>
              </w:rPr>
              <w:t>est concernée.</w:t>
            </w:r>
          </w:p>
          <w:p w14:paraId="6F1D67F9" w14:textId="77777777" w:rsidR="002B06F2" w:rsidRDefault="002B06F2">
            <w:pPr>
              <w:spacing w:after="0" w:line="240" w:lineRule="auto"/>
              <w:rPr>
                <w:rFonts w:ascii="Open Sans" w:hAnsi="Open Sans" w:cs="Open Sans"/>
                <w:b/>
                <w:bCs/>
                <w:color w:val="55565B"/>
                <w:sz w:val="20"/>
                <w:szCs w:val="20"/>
              </w:rPr>
            </w:pPr>
          </w:p>
        </w:tc>
      </w:tr>
    </w:tbl>
    <w:p w14:paraId="6A920A40" w14:textId="77777777" w:rsidR="002B06F2" w:rsidRDefault="00163AB0">
      <w:pPr>
        <w:pStyle w:val="Heading1"/>
        <w:spacing w:line="240" w:lineRule="auto"/>
        <w:jc w:val="center"/>
        <w:rPr>
          <w:rFonts w:ascii="Open Sans" w:hAnsi="Open Sans" w:cs="Open Sans"/>
          <w:b/>
          <w:bCs/>
          <w:color w:val="55565B"/>
          <w:sz w:val="28"/>
          <w:szCs w:val="28"/>
        </w:rPr>
      </w:pPr>
      <w:r>
        <w:rPr>
          <w:rFonts w:ascii="Open Sans" w:hAnsi="Open Sans"/>
          <w:b/>
          <w:color w:val="55565B"/>
          <w:sz w:val="28"/>
        </w:rPr>
        <w:t>Corps du plan</w:t>
      </w:r>
    </w:p>
    <w:tbl>
      <w:tblPr>
        <w:tblW w:w="9350" w:type="dxa"/>
        <w:tblCellMar>
          <w:left w:w="10" w:type="dxa"/>
          <w:right w:w="10" w:type="dxa"/>
        </w:tblCellMar>
        <w:tblLook w:val="04A0" w:firstRow="1" w:lastRow="0" w:firstColumn="1" w:lastColumn="0" w:noHBand="0" w:noVBand="1"/>
      </w:tblPr>
      <w:tblGrid>
        <w:gridCol w:w="4675"/>
        <w:gridCol w:w="4675"/>
      </w:tblGrid>
      <w:tr w:rsidR="002B06F2" w14:paraId="3808336A" w14:textId="77777777">
        <w:trPr>
          <w:trHeight w:val="699"/>
        </w:trPr>
        <w:tc>
          <w:tcPr>
            <w:tcW w:w="9350" w:type="dxa"/>
            <w:gridSpan w:val="2"/>
            <w:tcMar>
              <w:top w:w="0" w:type="dxa"/>
              <w:left w:w="108" w:type="dxa"/>
              <w:bottom w:w="0" w:type="dxa"/>
              <w:right w:w="108" w:type="dxa"/>
            </w:tcMar>
          </w:tcPr>
          <w:p w14:paraId="7FA02751" w14:textId="77777777" w:rsidR="002B06F2" w:rsidRDefault="00163AB0">
            <w:pPr>
              <w:pStyle w:val="Heading2"/>
              <w:spacing w:line="240" w:lineRule="auto"/>
            </w:pPr>
            <w:r>
              <w:rPr>
                <w:rFonts w:ascii="Open Sans" w:hAnsi="Open Sans"/>
                <w:b/>
                <w:color w:val="55565B"/>
                <w:sz w:val="24"/>
              </w:rPr>
              <w:t>Exigences générales</w:t>
            </w:r>
          </w:p>
          <w:p w14:paraId="3E11481C" w14:textId="6FA96BFC" w:rsidR="002B06F2" w:rsidRDefault="00550C32">
            <w:pPr>
              <w:pStyle w:val="ListParagraph"/>
              <w:numPr>
                <w:ilvl w:val="0"/>
                <w:numId w:val="20"/>
              </w:numPr>
              <w:spacing w:after="0" w:line="240" w:lineRule="auto"/>
            </w:pPr>
            <w:r>
              <w:rPr>
                <w:rFonts w:ascii="Open Sans" w:hAnsi="Open Sans"/>
                <w:color w:val="55565B"/>
                <w:sz w:val="20"/>
              </w:rPr>
              <w:t>La flèche du nord est orientée correctement. ISP 4.1.23</w:t>
            </w:r>
            <w:r>
              <w:rPr>
                <w:rFonts w:ascii="Open Sans" w:hAnsi="Open Sans"/>
                <w:color w:val="55565B"/>
                <w:sz w:val="20"/>
              </w:rPr>
              <w:br/>
            </w:r>
          </w:p>
        </w:tc>
      </w:tr>
      <w:tr w:rsidR="002B06F2" w14:paraId="40CD3F32" w14:textId="77777777">
        <w:trPr>
          <w:trHeight w:val="1131"/>
        </w:trPr>
        <w:tc>
          <w:tcPr>
            <w:tcW w:w="4675" w:type="dxa"/>
            <w:tcMar>
              <w:top w:w="0" w:type="dxa"/>
              <w:left w:w="108" w:type="dxa"/>
              <w:bottom w:w="0" w:type="dxa"/>
              <w:right w:w="108" w:type="dxa"/>
            </w:tcMar>
          </w:tcPr>
          <w:p w14:paraId="56D44EFF" w14:textId="1A3D1553" w:rsidR="002B06F2" w:rsidRDefault="00163AB0">
            <w:pPr>
              <w:pStyle w:val="ListParagraph"/>
              <w:numPr>
                <w:ilvl w:val="0"/>
                <w:numId w:val="21"/>
              </w:numPr>
              <w:spacing w:after="0" w:line="240" w:lineRule="auto"/>
              <w:rPr>
                <w:rFonts w:ascii="Open Sans" w:hAnsi="Open Sans" w:cs="Open Sans"/>
                <w:color w:val="55565B"/>
                <w:sz w:val="20"/>
                <w:szCs w:val="20"/>
              </w:rPr>
            </w:pPr>
            <w:r>
              <w:rPr>
                <w:rFonts w:ascii="Open Sans" w:hAnsi="Open Sans"/>
                <w:color w:val="55565B"/>
                <w:sz w:val="20"/>
              </w:rPr>
              <w:t>Système métrique : la mention MÉTRIQUE est en gras, d</w:t>
            </w:r>
            <w:r w:rsidR="00BB1B23">
              <w:rPr>
                <w:rFonts w:ascii="Open Sans" w:hAnsi="Open Sans"/>
                <w:color w:val="55565B"/>
                <w:sz w:val="20"/>
              </w:rPr>
              <w:t>’</w:t>
            </w:r>
            <w:r>
              <w:rPr>
                <w:rFonts w:ascii="Open Sans" w:hAnsi="Open Sans"/>
                <w:color w:val="55565B"/>
                <w:sz w:val="20"/>
              </w:rPr>
              <w:t>une hauteur de 10 mm, et placée sous la bordure supérieure et à gauche du cartouche. ISP 29.1.2A</w:t>
            </w:r>
          </w:p>
          <w:p w14:paraId="2DA929CC" w14:textId="436435D7" w:rsidR="00D656F5" w:rsidRDefault="00D656F5" w:rsidP="00D656F5">
            <w:pPr>
              <w:pStyle w:val="ListParagraph"/>
              <w:spacing w:after="0" w:line="240" w:lineRule="auto"/>
              <w:ind w:left="360"/>
              <w:rPr>
                <w:rFonts w:ascii="Open Sans" w:hAnsi="Open Sans" w:cs="Open Sans"/>
                <w:color w:val="55565B"/>
                <w:sz w:val="20"/>
                <w:szCs w:val="20"/>
              </w:rPr>
            </w:pPr>
          </w:p>
        </w:tc>
        <w:tc>
          <w:tcPr>
            <w:tcW w:w="4675" w:type="dxa"/>
            <w:tcMar>
              <w:top w:w="0" w:type="dxa"/>
              <w:left w:w="108" w:type="dxa"/>
              <w:bottom w:w="0" w:type="dxa"/>
              <w:right w:w="108" w:type="dxa"/>
            </w:tcMar>
          </w:tcPr>
          <w:p w14:paraId="4DB54B1A" w14:textId="4304082D" w:rsidR="002B06F2" w:rsidRDefault="00163AB0">
            <w:pPr>
              <w:pStyle w:val="ListParagraph"/>
              <w:numPr>
                <w:ilvl w:val="0"/>
                <w:numId w:val="21"/>
              </w:numPr>
              <w:spacing w:after="0" w:line="240" w:lineRule="auto"/>
              <w:rPr>
                <w:rFonts w:ascii="Open Sans" w:hAnsi="Open Sans" w:cs="Open Sans"/>
                <w:color w:val="55565B"/>
                <w:sz w:val="20"/>
                <w:szCs w:val="20"/>
              </w:rPr>
            </w:pPr>
            <w:r>
              <w:rPr>
                <w:rFonts w:ascii="Open Sans" w:hAnsi="Open Sans"/>
                <w:color w:val="55565B"/>
                <w:sz w:val="20"/>
              </w:rPr>
              <w:t>Système impérial : aucune mention particulière n’est requise. Remarque : les unités impériales ne doivent être utilisées que lorsque le plan de base est arpenté en unités impériales.</w:t>
            </w:r>
          </w:p>
          <w:p w14:paraId="3F0F1609" w14:textId="77777777" w:rsidR="002B06F2" w:rsidRDefault="002B06F2">
            <w:pPr>
              <w:spacing w:after="0" w:line="240" w:lineRule="auto"/>
              <w:rPr>
                <w:rFonts w:ascii="Open Sans" w:hAnsi="Open Sans" w:cs="Open Sans"/>
                <w:b/>
                <w:bCs/>
                <w:color w:val="55565B"/>
                <w:sz w:val="20"/>
                <w:szCs w:val="20"/>
              </w:rPr>
            </w:pPr>
          </w:p>
        </w:tc>
      </w:tr>
      <w:tr w:rsidR="002B06F2" w14:paraId="1EABF745" w14:textId="77777777">
        <w:trPr>
          <w:trHeight w:val="804"/>
        </w:trPr>
        <w:tc>
          <w:tcPr>
            <w:tcW w:w="4675" w:type="dxa"/>
            <w:tcMar>
              <w:top w:w="0" w:type="dxa"/>
              <w:left w:w="108" w:type="dxa"/>
              <w:bottom w:w="0" w:type="dxa"/>
              <w:right w:w="108" w:type="dxa"/>
            </w:tcMar>
          </w:tcPr>
          <w:p w14:paraId="1CFE3888" w14:textId="1EC3BB35" w:rsidR="002B06F2" w:rsidRDefault="00163AB0">
            <w:pPr>
              <w:pStyle w:val="ListParagraph"/>
              <w:numPr>
                <w:ilvl w:val="0"/>
                <w:numId w:val="21"/>
              </w:numPr>
              <w:spacing w:after="0" w:line="240" w:lineRule="auto"/>
              <w:rPr>
                <w:rFonts w:ascii="Open Sans" w:hAnsi="Open Sans" w:cs="Open Sans"/>
                <w:color w:val="55565B"/>
                <w:sz w:val="20"/>
                <w:szCs w:val="20"/>
              </w:rPr>
            </w:pPr>
            <w:r>
              <w:rPr>
                <w:rFonts w:ascii="Open Sans" w:hAnsi="Open Sans"/>
                <w:color w:val="55565B"/>
                <w:sz w:val="20"/>
              </w:rPr>
              <w:t>Les agrandissements sont dessinés à l</w:t>
            </w:r>
            <w:r w:rsidR="00BB1B23">
              <w:rPr>
                <w:rFonts w:ascii="Open Sans" w:hAnsi="Open Sans"/>
                <w:color w:val="55565B"/>
                <w:sz w:val="20"/>
              </w:rPr>
              <w:t>’</w:t>
            </w:r>
            <w:r>
              <w:rPr>
                <w:rFonts w:ascii="Open Sans" w:hAnsi="Open Sans"/>
                <w:color w:val="55565B"/>
                <w:sz w:val="20"/>
              </w:rPr>
              <w:t>échelle. L</w:t>
            </w:r>
            <w:r w:rsidR="00BB1B23">
              <w:rPr>
                <w:rFonts w:ascii="Open Sans" w:hAnsi="Open Sans"/>
                <w:color w:val="55565B"/>
                <w:sz w:val="20"/>
              </w:rPr>
              <w:t>’</w:t>
            </w:r>
            <w:r>
              <w:rPr>
                <w:rFonts w:ascii="Open Sans" w:hAnsi="Open Sans"/>
                <w:color w:val="55565B"/>
                <w:sz w:val="20"/>
              </w:rPr>
              <w:t>échelle est indiquée. ISP 4.1.19</w:t>
            </w:r>
          </w:p>
        </w:tc>
        <w:tc>
          <w:tcPr>
            <w:tcW w:w="4675" w:type="dxa"/>
            <w:tcMar>
              <w:top w:w="0" w:type="dxa"/>
              <w:left w:w="108" w:type="dxa"/>
              <w:bottom w:w="0" w:type="dxa"/>
              <w:right w:w="108" w:type="dxa"/>
            </w:tcMar>
          </w:tcPr>
          <w:p w14:paraId="5FCB8B4D" w14:textId="0E9E2741" w:rsidR="002B06F2" w:rsidRDefault="00163AB0">
            <w:pPr>
              <w:pStyle w:val="ListParagraph"/>
              <w:numPr>
                <w:ilvl w:val="0"/>
                <w:numId w:val="21"/>
              </w:numPr>
              <w:spacing w:after="0" w:line="240" w:lineRule="auto"/>
              <w:rPr>
                <w:rFonts w:ascii="Open Sans" w:hAnsi="Open Sans" w:cs="Open Sans"/>
                <w:color w:val="55565B"/>
                <w:sz w:val="20"/>
                <w:szCs w:val="20"/>
              </w:rPr>
            </w:pPr>
            <w:r>
              <w:rPr>
                <w:rFonts w:ascii="Open Sans" w:hAnsi="Open Sans"/>
                <w:color w:val="55565B"/>
                <w:sz w:val="20"/>
              </w:rPr>
              <w:t>Les agrandissements ne sont pas à l</w:t>
            </w:r>
            <w:r w:rsidR="00BB1B23">
              <w:rPr>
                <w:rFonts w:ascii="Open Sans" w:hAnsi="Open Sans"/>
                <w:color w:val="55565B"/>
                <w:sz w:val="20"/>
              </w:rPr>
              <w:t>’</w:t>
            </w:r>
            <w:r>
              <w:rPr>
                <w:rFonts w:ascii="Open Sans" w:hAnsi="Open Sans"/>
                <w:color w:val="55565B"/>
                <w:sz w:val="20"/>
              </w:rPr>
              <w:t>échelle et sont indiqués comme tels. ISP 4.1.19</w:t>
            </w:r>
          </w:p>
        </w:tc>
      </w:tr>
      <w:tr w:rsidR="002B06F2" w14:paraId="37A05B3C" w14:textId="77777777">
        <w:trPr>
          <w:trHeight w:val="2972"/>
        </w:trPr>
        <w:tc>
          <w:tcPr>
            <w:tcW w:w="9350" w:type="dxa"/>
            <w:gridSpan w:val="2"/>
            <w:tcMar>
              <w:top w:w="0" w:type="dxa"/>
              <w:left w:w="108" w:type="dxa"/>
              <w:bottom w:w="0" w:type="dxa"/>
              <w:right w:w="108" w:type="dxa"/>
            </w:tcMar>
          </w:tcPr>
          <w:p w14:paraId="4639D3EE" w14:textId="689312DA"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agrandissements montrant un rapport sur la ligne ordinaire des hautes eaux sont dessinés à l</w:t>
            </w:r>
            <w:r w:rsidR="00BB1B23">
              <w:rPr>
                <w:rFonts w:ascii="Open Sans" w:hAnsi="Open Sans"/>
                <w:color w:val="55565B"/>
                <w:sz w:val="20"/>
              </w:rPr>
              <w:t>’</w:t>
            </w:r>
            <w:r>
              <w:rPr>
                <w:rFonts w:ascii="Open Sans" w:hAnsi="Open Sans"/>
                <w:color w:val="55565B"/>
                <w:sz w:val="20"/>
              </w:rPr>
              <w:t xml:space="preserve">échelle. </w:t>
            </w:r>
            <w:r>
              <w:rPr>
                <w:rFonts w:ascii="Open Sans" w:hAnsi="Open Sans"/>
                <w:color w:val="55565B"/>
                <w:sz w:val="20"/>
              </w:rPr>
              <w:br/>
            </w:r>
          </w:p>
          <w:p w14:paraId="33841E57" w14:textId="33B9B0B2" w:rsidR="002B06F2" w:rsidRDefault="00550C32">
            <w:pPr>
              <w:pStyle w:val="ListParagraph"/>
              <w:numPr>
                <w:ilvl w:val="0"/>
                <w:numId w:val="22"/>
              </w:numPr>
              <w:spacing w:after="0" w:line="240" w:lineRule="auto"/>
            </w:pPr>
            <w:r>
              <w:rPr>
                <w:rFonts w:ascii="Open Sans" w:hAnsi="Open Sans"/>
                <w:color w:val="55565B"/>
                <w:sz w:val="20"/>
              </w:rPr>
              <w:t>Toute référence au township et au rang est ajoutée sous chaque section ou nom de paroisse (rivière/lot non riverain/autres lots) ou effacée si elle se trouve dans un plan existant ou s</w:t>
            </w:r>
            <w:r w:rsidR="00BB1B23">
              <w:rPr>
                <w:rFonts w:ascii="Open Sans" w:hAnsi="Open Sans"/>
                <w:color w:val="55565B"/>
                <w:sz w:val="20"/>
              </w:rPr>
              <w:t>’</w:t>
            </w:r>
            <w:r>
              <w:rPr>
                <w:rFonts w:ascii="Open Sans" w:hAnsi="Open Sans"/>
                <w:color w:val="55565B"/>
                <w:sz w:val="20"/>
              </w:rPr>
              <w:t>il s</w:t>
            </w:r>
            <w:r w:rsidR="00BB1B23">
              <w:rPr>
                <w:rFonts w:ascii="Open Sans" w:hAnsi="Open Sans"/>
                <w:color w:val="55565B"/>
                <w:sz w:val="20"/>
              </w:rPr>
              <w:t>’</w:t>
            </w:r>
            <w:r>
              <w:rPr>
                <w:rFonts w:ascii="Open Sans" w:hAnsi="Open Sans"/>
                <w:color w:val="55565B"/>
                <w:sz w:val="20"/>
              </w:rPr>
              <w:t>agit de sections théoriques dans un territoire non arpenté. ISP 4.1.34</w:t>
            </w:r>
            <w:r>
              <w:rPr>
                <w:rFonts w:ascii="Open Sans" w:hAnsi="Open Sans"/>
                <w:color w:val="55565B"/>
                <w:sz w:val="20"/>
              </w:rPr>
              <w:br/>
            </w:r>
          </w:p>
          <w:p w14:paraId="6E8CB104" w14:textId="59436E3C"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mentions « section », « township » et « rang » sont orientées vers le nord. ISP 4.1.26</w:t>
            </w:r>
            <w:r>
              <w:rPr>
                <w:rFonts w:ascii="Open Sans" w:hAnsi="Open Sans"/>
                <w:color w:val="55565B"/>
                <w:sz w:val="20"/>
              </w:rPr>
              <w:br/>
            </w:r>
          </w:p>
          <w:p w14:paraId="266FD63F" w14:textId="7C87427A" w:rsidR="002B06F2" w:rsidRDefault="00550C32">
            <w:pPr>
              <w:pStyle w:val="ListParagraph"/>
              <w:numPr>
                <w:ilvl w:val="0"/>
                <w:numId w:val="22"/>
              </w:numPr>
              <w:spacing w:after="0" w:line="240" w:lineRule="auto"/>
            </w:pPr>
            <w:r>
              <w:rPr>
                <w:rFonts w:ascii="Open Sans" w:hAnsi="Open Sans"/>
                <w:color w:val="55565B"/>
                <w:sz w:val="20"/>
              </w:rPr>
              <w:t>Le canevas d</w:t>
            </w:r>
            <w:r w:rsidR="00BB1B23">
              <w:rPr>
                <w:rFonts w:ascii="Open Sans" w:hAnsi="Open Sans"/>
                <w:color w:val="55565B"/>
                <w:sz w:val="20"/>
              </w:rPr>
              <w:t>’</w:t>
            </w:r>
            <w:r>
              <w:rPr>
                <w:rFonts w:ascii="Open Sans" w:hAnsi="Open Sans"/>
                <w:color w:val="55565B"/>
                <w:sz w:val="20"/>
              </w:rPr>
              <w:t>arpentage adjacent est indiqué sur le plan.</w:t>
            </w:r>
          </w:p>
          <w:p w14:paraId="2B7B0907" w14:textId="77777777" w:rsidR="002B06F2" w:rsidRDefault="002B06F2">
            <w:pPr>
              <w:pStyle w:val="ListParagraph"/>
              <w:spacing w:after="0" w:line="240" w:lineRule="auto"/>
              <w:ind w:left="360"/>
              <w:rPr>
                <w:rFonts w:ascii="Open Sans" w:hAnsi="Open Sans" w:cs="Open Sans"/>
                <w:color w:val="55565B"/>
                <w:sz w:val="20"/>
                <w:szCs w:val="20"/>
              </w:rPr>
            </w:pPr>
          </w:p>
          <w:p w14:paraId="2A1618BA" w14:textId="206AB4C9"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Chaque masse d</w:t>
            </w:r>
            <w:r w:rsidR="00BB1B23">
              <w:rPr>
                <w:rFonts w:ascii="Open Sans" w:hAnsi="Open Sans"/>
                <w:color w:val="55565B"/>
                <w:sz w:val="20"/>
              </w:rPr>
              <w:t>’</w:t>
            </w:r>
            <w:r>
              <w:rPr>
                <w:rFonts w:ascii="Open Sans" w:hAnsi="Open Sans"/>
                <w:color w:val="55565B"/>
                <w:sz w:val="20"/>
              </w:rPr>
              <w:t xml:space="preserve">eau naturelle est mentionnée sur le plan par son nom propre. Confirmation des noms propres auprès du </w:t>
            </w:r>
            <w:r w:rsidR="009A145F">
              <w:rPr>
                <w:rFonts w:ascii="Open Sans" w:hAnsi="Open Sans"/>
                <w:color w:val="55565B"/>
                <w:sz w:val="20"/>
              </w:rPr>
              <w:t>t</w:t>
            </w:r>
            <w:r>
              <w:rPr>
                <w:rFonts w:ascii="Open Sans" w:hAnsi="Open Sans"/>
                <w:color w:val="55565B"/>
                <w:sz w:val="20"/>
              </w:rPr>
              <w:t>oponymiste provincial. ISP 14.1.14</w:t>
            </w:r>
          </w:p>
          <w:p w14:paraId="2CBF607A" w14:textId="5618BDF6" w:rsidR="002B06F2" w:rsidRDefault="00BC74A9" w:rsidP="00BC74A9">
            <w:pPr>
              <w:pStyle w:val="ListParagraph"/>
              <w:spacing w:after="0" w:line="240" w:lineRule="auto"/>
              <w:rPr>
                <w:rFonts w:ascii="Open Sans" w:hAnsi="Open Sans" w:cs="Open Sans"/>
                <w:color w:val="55565B"/>
                <w:sz w:val="20"/>
                <w:szCs w:val="20"/>
              </w:rPr>
            </w:pPr>
            <w:r>
              <w:rPr>
                <w:rFonts w:ascii="Open Sans" w:hAnsi="Open Sans"/>
                <w:color w:val="55565B"/>
                <w:sz w:val="20"/>
              </w:rPr>
              <w:t>Le cas échéant, le sens de l</w:t>
            </w:r>
            <w:r w:rsidR="00BB1B23">
              <w:rPr>
                <w:rFonts w:ascii="Open Sans" w:hAnsi="Open Sans"/>
                <w:color w:val="55565B"/>
                <w:sz w:val="20"/>
              </w:rPr>
              <w:t>’</w:t>
            </w:r>
            <w:r>
              <w:rPr>
                <w:rFonts w:ascii="Open Sans" w:hAnsi="Open Sans"/>
                <w:color w:val="55565B"/>
                <w:sz w:val="20"/>
              </w:rPr>
              <w:t xml:space="preserve">écoulement est indiqué. </w:t>
            </w:r>
            <w:r>
              <w:rPr>
                <w:rFonts w:ascii="Open Sans" w:hAnsi="Open Sans"/>
                <w:color w:val="55565B"/>
                <w:sz w:val="20"/>
              </w:rPr>
              <w:br/>
            </w:r>
          </w:p>
          <w:p w14:paraId="44E4F80B" w14:textId="5DE11CA6" w:rsidR="002B06F2" w:rsidRDefault="00550C32">
            <w:pPr>
              <w:pStyle w:val="ListParagraph"/>
              <w:numPr>
                <w:ilvl w:val="0"/>
                <w:numId w:val="22"/>
              </w:numPr>
              <w:spacing w:after="0" w:line="240" w:lineRule="auto"/>
            </w:pPr>
            <w:r>
              <w:rPr>
                <w:rFonts w:ascii="Open Sans" w:hAnsi="Open Sans"/>
                <w:color w:val="55565B"/>
                <w:sz w:val="20"/>
              </w:rPr>
              <w:t>Toutes les routes adjacentes sont indiquées sur le plan. Les noms des routes correspondent aux registres officiels du district des titres fonciers. ISP 15.1.20</w:t>
            </w:r>
            <w:r>
              <w:rPr>
                <w:rFonts w:ascii="Open Sans" w:hAnsi="Open Sans"/>
                <w:color w:val="55565B"/>
                <w:sz w:val="20"/>
              </w:rPr>
              <w:br/>
            </w:r>
          </w:p>
          <w:p w14:paraId="1F0CA207" w14:textId="16686A9C" w:rsidR="002B06F2" w:rsidRPr="001F6C0B"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 xml:space="preserve">Toutes les emprises publiques sont indiquées sur le plan avec les dimensions correspondantes. </w:t>
            </w:r>
          </w:p>
          <w:p w14:paraId="42B0ACD3" w14:textId="6757A85C" w:rsidR="002B06F2" w:rsidRPr="001F6C0B" w:rsidRDefault="00163AB0" w:rsidP="00BC74A9">
            <w:pPr>
              <w:pStyle w:val="ListParagraph"/>
              <w:spacing w:after="0" w:line="240" w:lineRule="auto"/>
              <w:rPr>
                <w:rFonts w:ascii="Open Sans" w:hAnsi="Open Sans" w:cs="Open Sans"/>
                <w:color w:val="55565B"/>
                <w:sz w:val="20"/>
                <w:szCs w:val="20"/>
              </w:rPr>
            </w:pPr>
            <w:r>
              <w:rPr>
                <w:rFonts w:ascii="Open Sans" w:hAnsi="Open Sans"/>
                <w:color w:val="55565B"/>
                <w:sz w:val="20"/>
              </w:rPr>
              <w:t>Si l’emprise est parallèle : la largeur perpendiculaire est indiquée deux fois par parcours.</w:t>
            </w:r>
          </w:p>
          <w:p w14:paraId="0EE30308" w14:textId="28E2BBBF" w:rsidR="002B06F2" w:rsidRDefault="00163AB0" w:rsidP="00BC74A9">
            <w:pPr>
              <w:pStyle w:val="ListParagraph"/>
              <w:spacing w:after="0" w:line="240" w:lineRule="auto"/>
              <w:rPr>
                <w:rFonts w:ascii="Open Sans" w:hAnsi="Open Sans" w:cs="Open Sans"/>
                <w:color w:val="55565B"/>
                <w:sz w:val="20"/>
                <w:szCs w:val="20"/>
              </w:rPr>
            </w:pPr>
            <w:r>
              <w:rPr>
                <w:rFonts w:ascii="Open Sans" w:hAnsi="Open Sans"/>
                <w:color w:val="55565B"/>
                <w:sz w:val="20"/>
              </w:rPr>
              <w:lastRenderedPageBreak/>
              <w:t xml:space="preserve">Si l’emprise n’est pas parallèle : la distance de la pente est indiquée en cas de croisement en diagonale.  </w:t>
            </w:r>
            <w:r>
              <w:rPr>
                <w:rFonts w:ascii="Open Sans" w:hAnsi="Open Sans"/>
                <w:color w:val="55565B"/>
                <w:sz w:val="20"/>
              </w:rPr>
              <w:br/>
            </w:r>
          </w:p>
          <w:p w14:paraId="35F7FE5B" w14:textId="5F464EA9" w:rsidR="002B06F2" w:rsidRPr="001F6C0B" w:rsidRDefault="00163AB0">
            <w:pPr>
              <w:pStyle w:val="ListParagraph"/>
              <w:numPr>
                <w:ilvl w:val="0"/>
                <w:numId w:val="22"/>
              </w:numPr>
              <w:spacing w:after="0" w:line="240" w:lineRule="auto"/>
            </w:pPr>
            <w:r>
              <w:rPr>
                <w:rFonts w:ascii="Open Sans" w:hAnsi="Open Sans"/>
                <w:color w:val="55565B"/>
                <w:sz w:val="20"/>
              </w:rPr>
              <w:t>Tous les agrandissements (détails), s</w:t>
            </w:r>
            <w:r w:rsidR="00BB1B23">
              <w:rPr>
                <w:rFonts w:ascii="Open Sans" w:hAnsi="Open Sans"/>
                <w:color w:val="55565B"/>
                <w:sz w:val="20"/>
              </w:rPr>
              <w:t>’</w:t>
            </w:r>
            <w:r>
              <w:rPr>
                <w:rFonts w:ascii="Open Sans" w:hAnsi="Open Sans"/>
                <w:color w:val="55565B"/>
                <w:sz w:val="20"/>
              </w:rPr>
              <w:t>ils sont utilisés, correspondent exactement aux éléments correspondants dans le corps du plan et s</w:t>
            </w:r>
            <w:r w:rsidR="00BB1B23">
              <w:rPr>
                <w:rFonts w:ascii="Open Sans" w:hAnsi="Open Sans"/>
                <w:color w:val="55565B"/>
                <w:sz w:val="20"/>
              </w:rPr>
              <w:t>’</w:t>
            </w:r>
            <w:r>
              <w:rPr>
                <w:rFonts w:ascii="Open Sans" w:hAnsi="Open Sans"/>
                <w:color w:val="55565B"/>
                <w:sz w:val="20"/>
              </w:rPr>
              <w:t>alignent avec ceux-ci. ISP 4.1.18</w:t>
            </w:r>
          </w:p>
          <w:p w14:paraId="5CE97052" w14:textId="77777777" w:rsidR="001F6C0B" w:rsidRDefault="001F6C0B" w:rsidP="001F6C0B">
            <w:pPr>
              <w:pStyle w:val="ListParagraph"/>
              <w:spacing w:after="0" w:line="240" w:lineRule="auto"/>
              <w:ind w:left="360"/>
            </w:pPr>
          </w:p>
          <w:p w14:paraId="05E5C899" w14:textId="7C3A5F9B"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limites radiales sont indiquées par la mention « RAD ».</w:t>
            </w:r>
            <w:r>
              <w:rPr>
                <w:rFonts w:ascii="Open Sans" w:hAnsi="Open Sans"/>
                <w:color w:val="55565B"/>
                <w:sz w:val="20"/>
              </w:rPr>
              <w:br/>
            </w:r>
          </w:p>
          <w:p w14:paraId="2CC2A5BD" w14:textId="44A983AB" w:rsidR="00D656F5" w:rsidRPr="00F20B33" w:rsidRDefault="00163AB0" w:rsidP="00F20B33">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abréviations sont utilisées conformément au point 6.1.6 des ISP ou sont définies dans la section des notes.</w:t>
            </w:r>
          </w:p>
          <w:p w14:paraId="3C9FD127" w14:textId="6E83865B" w:rsidR="002B06F2" w:rsidRDefault="00163AB0">
            <w:pPr>
              <w:pStyle w:val="Heading2"/>
              <w:spacing w:line="240" w:lineRule="auto"/>
            </w:pPr>
            <w:r>
              <w:rPr>
                <w:rFonts w:ascii="Open Sans" w:hAnsi="Open Sans"/>
                <w:b/>
                <w:color w:val="55565B"/>
                <w:sz w:val="24"/>
              </w:rPr>
              <w:t>Borne et plan d</w:t>
            </w:r>
            <w:r w:rsidR="00BB1B23">
              <w:rPr>
                <w:rFonts w:ascii="Open Sans" w:hAnsi="Open Sans"/>
                <w:b/>
                <w:color w:val="55565B"/>
                <w:sz w:val="24"/>
              </w:rPr>
              <w:t>’</w:t>
            </w:r>
            <w:r>
              <w:rPr>
                <w:rFonts w:ascii="Open Sans" w:hAnsi="Open Sans"/>
                <w:b/>
                <w:color w:val="55565B"/>
                <w:sz w:val="24"/>
              </w:rPr>
              <w:t>ensemble</w:t>
            </w:r>
          </w:p>
          <w:p w14:paraId="5A278980" w14:textId="77777777"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Bornes trouvées : toutes sont décrites et correspondent aux dispositions indiquées dans la section des notes.</w:t>
            </w:r>
            <w:r>
              <w:rPr>
                <w:rFonts w:ascii="Open Sans" w:hAnsi="Open Sans"/>
                <w:color w:val="55565B"/>
                <w:sz w:val="20"/>
              </w:rPr>
              <w:br/>
            </w:r>
          </w:p>
          <w:p w14:paraId="39D2E684" w14:textId="0C768EEF" w:rsidR="002B06F2" w:rsidRDefault="00163AB0">
            <w:pPr>
              <w:pStyle w:val="ListParagraph"/>
              <w:numPr>
                <w:ilvl w:val="0"/>
                <w:numId w:val="22"/>
              </w:numPr>
              <w:spacing w:after="0" w:line="240" w:lineRule="auto"/>
            </w:pPr>
            <w:r>
              <w:rPr>
                <w:rFonts w:ascii="Open Sans" w:hAnsi="Open Sans"/>
                <w:color w:val="55565B"/>
                <w:sz w:val="20"/>
              </w:rPr>
              <w:t>Bornes placées : les bons symboles sont utilisés conformément aux dispositions indiquées dans la section des notes. ISP 6.1.2</w:t>
            </w:r>
            <w:r>
              <w:rPr>
                <w:rFonts w:ascii="Open Sans" w:hAnsi="Open Sans"/>
                <w:color w:val="55565B"/>
                <w:sz w:val="20"/>
              </w:rPr>
              <w:br/>
            </w:r>
          </w:p>
          <w:p w14:paraId="6AE228D2" w14:textId="656B0FB7"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 type de ligne utilisé pour le plan d’ensemble correspond aux dispositions indiquées dans la section des notes.</w:t>
            </w:r>
            <w:r>
              <w:rPr>
                <w:rFonts w:ascii="Open Sans" w:hAnsi="Open Sans"/>
                <w:color w:val="55565B"/>
                <w:sz w:val="20"/>
              </w:rPr>
              <w:br/>
            </w:r>
          </w:p>
          <w:p w14:paraId="0144FC73" w14:textId="73BFB0AC"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 plan d’ensemble est affiché en totalité à l’aide de poteaux de type E ou mieux (on peut conserver des poteaux de type F si leur remplacement n’apporterait pas d’avantages substantiels). ISP 15.1.4</w:t>
            </w:r>
            <w:r>
              <w:rPr>
                <w:rFonts w:ascii="Open Sans" w:hAnsi="Open Sans"/>
                <w:color w:val="55565B"/>
                <w:sz w:val="20"/>
              </w:rPr>
              <w:br/>
            </w:r>
          </w:p>
          <w:p w14:paraId="4E957A81" w14:textId="6FA51499"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déviations dans les angles des ensembles de lots ou dans les rues publiques sont signalées à l</w:t>
            </w:r>
            <w:r w:rsidR="00BB1B23">
              <w:rPr>
                <w:rFonts w:ascii="Open Sans" w:hAnsi="Open Sans"/>
                <w:color w:val="55565B"/>
                <w:sz w:val="20"/>
              </w:rPr>
              <w:t>’</w:t>
            </w:r>
            <w:r>
              <w:rPr>
                <w:rFonts w:ascii="Open Sans" w:hAnsi="Open Sans"/>
                <w:color w:val="55565B"/>
                <w:sz w:val="20"/>
              </w:rPr>
              <w:t>aide de poteaux de type E ou mieux. ISP 15.1.4</w:t>
            </w:r>
            <w:r>
              <w:rPr>
                <w:rFonts w:ascii="Open Sans" w:hAnsi="Open Sans"/>
                <w:color w:val="55565B"/>
                <w:sz w:val="20"/>
              </w:rPr>
              <w:br/>
            </w:r>
          </w:p>
          <w:p w14:paraId="57897F94" w14:textId="3C79CF39"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lignes de rattachement sont clairement indiquées deux fois par parcours, le cas échéant. ISP 15.1.9</w:t>
            </w:r>
            <w:r>
              <w:rPr>
                <w:rFonts w:ascii="Open Sans" w:hAnsi="Open Sans"/>
                <w:color w:val="55565B"/>
                <w:sz w:val="20"/>
              </w:rPr>
              <w:br/>
            </w:r>
          </w:p>
          <w:p w14:paraId="50F03877" w14:textId="79F63EDD"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lots d</w:t>
            </w:r>
            <w:r w:rsidR="00BB1B23">
              <w:rPr>
                <w:rFonts w:ascii="Open Sans" w:hAnsi="Open Sans"/>
                <w:color w:val="55565B"/>
                <w:sz w:val="20"/>
              </w:rPr>
              <w:t>’</w:t>
            </w:r>
            <w:r>
              <w:rPr>
                <w:rFonts w:ascii="Open Sans" w:hAnsi="Open Sans"/>
                <w:color w:val="55565B"/>
                <w:sz w:val="20"/>
              </w:rPr>
              <w:t>une superficie supérieure à 11 000 mètres carrés sont marqués d</w:t>
            </w:r>
            <w:r w:rsidR="00BB1B23">
              <w:rPr>
                <w:rFonts w:ascii="Open Sans" w:hAnsi="Open Sans"/>
                <w:color w:val="55565B"/>
                <w:sz w:val="20"/>
              </w:rPr>
              <w:t>’</w:t>
            </w:r>
            <w:r>
              <w:rPr>
                <w:rFonts w:ascii="Open Sans" w:hAnsi="Open Sans"/>
                <w:color w:val="55565B"/>
                <w:sz w:val="20"/>
              </w:rPr>
              <w:t>une borne à tous les angles. ISP 15.1.6</w:t>
            </w:r>
          </w:p>
          <w:p w14:paraId="2AB3160F" w14:textId="77777777" w:rsidR="002B06F2" w:rsidRDefault="002B06F2">
            <w:pPr>
              <w:pStyle w:val="ListParagraph"/>
              <w:spacing w:after="0" w:line="240" w:lineRule="auto"/>
              <w:ind w:left="360"/>
              <w:rPr>
                <w:rFonts w:ascii="Open Sans" w:hAnsi="Open Sans" w:cs="Open Sans"/>
                <w:color w:val="55565B"/>
                <w:sz w:val="20"/>
                <w:szCs w:val="20"/>
              </w:rPr>
            </w:pPr>
          </w:p>
          <w:p w14:paraId="3361F559" w14:textId="223D8EEC"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lotissements de trois lots ou moins sont marqués par des bornes à tous les angles. ISP 15.1.7</w:t>
            </w:r>
            <w:r>
              <w:rPr>
                <w:rFonts w:ascii="Open Sans" w:hAnsi="Open Sans"/>
                <w:color w:val="55565B"/>
                <w:sz w:val="20"/>
              </w:rPr>
              <w:br/>
            </w:r>
          </w:p>
          <w:p w14:paraId="500E1E23" w14:textId="67047437"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Les limites arrière des ensembles de lots ou des lotissements sont affichées aussi près que possible des limites naturelles, le cas échéant. ISP 15.1.11</w:t>
            </w:r>
            <w:r>
              <w:rPr>
                <w:rFonts w:ascii="Open Sans" w:hAnsi="Open Sans"/>
                <w:color w:val="55565B"/>
                <w:sz w:val="20"/>
              </w:rPr>
              <w:br/>
            </w:r>
          </w:p>
          <w:p w14:paraId="48A71781" w14:textId="4D6261F1" w:rsidR="002B06F2" w:rsidRDefault="00163AB0">
            <w:pPr>
              <w:pStyle w:val="ListParagraph"/>
              <w:numPr>
                <w:ilvl w:val="0"/>
                <w:numId w:val="22"/>
              </w:numPr>
              <w:spacing w:after="0" w:line="240" w:lineRule="auto"/>
            </w:pPr>
            <w:r>
              <w:rPr>
                <w:rFonts w:ascii="Open Sans" w:hAnsi="Open Sans"/>
                <w:color w:val="55565B"/>
                <w:sz w:val="20"/>
              </w:rPr>
              <w:t>Le cas échéant, une note est indiquée le long de toute limite du plan qui coïncide avec une ligne de quart, une limite légale de lotissement, une limite de lot paroissial ou de lot de colonisation, et une limite de titre. Pour les limites de titre, on utilise une notation descriptive sans référence au numéro du titre. ISP 4.1.24</w:t>
            </w:r>
            <w:r>
              <w:rPr>
                <w:rFonts w:ascii="Open Sans" w:hAnsi="Open Sans"/>
                <w:color w:val="55565B"/>
                <w:sz w:val="20"/>
              </w:rPr>
              <w:br/>
            </w:r>
          </w:p>
          <w:p w14:paraId="4D3D9431" w14:textId="02A73ACC" w:rsidR="002B06F2" w:rsidRPr="00A30DE0" w:rsidRDefault="00550C32" w:rsidP="00A30DE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La ligne ordinaire des hautes eaux est indiquée et datée (la date correspond à l’affidavit), le cas échéant. ISP 14.1.16</w:t>
            </w:r>
            <w:r>
              <w:rPr>
                <w:rFonts w:ascii="Open Sans" w:hAnsi="Open Sans"/>
                <w:color w:val="55565B"/>
                <w:sz w:val="20"/>
              </w:rPr>
              <w:br/>
            </w:r>
          </w:p>
          <w:p w14:paraId="4E6AFDF5" w14:textId="38E713C5" w:rsidR="002B06F2" w:rsidRDefault="00550C32">
            <w:pPr>
              <w:pStyle w:val="ListParagraph"/>
              <w:numPr>
                <w:ilvl w:val="0"/>
                <w:numId w:val="22"/>
              </w:numPr>
              <w:spacing w:after="0" w:line="240" w:lineRule="auto"/>
            </w:pPr>
            <w:r>
              <w:rPr>
                <w:rFonts w:ascii="Open Sans" w:hAnsi="Open Sans"/>
                <w:color w:val="55565B"/>
                <w:sz w:val="20"/>
              </w:rPr>
              <w:t>L’axe central d</w:t>
            </w:r>
            <w:r w:rsidR="00BB1B23">
              <w:rPr>
                <w:rFonts w:ascii="Open Sans" w:hAnsi="Open Sans"/>
                <w:color w:val="55565B"/>
                <w:sz w:val="20"/>
              </w:rPr>
              <w:t>’</w:t>
            </w:r>
            <w:r>
              <w:rPr>
                <w:rFonts w:ascii="Open Sans" w:hAnsi="Open Sans"/>
                <w:color w:val="55565B"/>
                <w:sz w:val="20"/>
              </w:rPr>
              <w:t>une rivière ou d</w:t>
            </w:r>
            <w:r w:rsidR="00BB1B23">
              <w:rPr>
                <w:rFonts w:ascii="Open Sans" w:hAnsi="Open Sans"/>
                <w:color w:val="55565B"/>
                <w:sz w:val="20"/>
              </w:rPr>
              <w:t>’</w:t>
            </w:r>
            <w:r>
              <w:rPr>
                <w:rFonts w:ascii="Open Sans" w:hAnsi="Open Sans"/>
                <w:color w:val="55565B"/>
                <w:sz w:val="20"/>
              </w:rPr>
              <w:t>un ruisseau formant une limite de titre est indiqué et daté, le cas échéant. Les rives gauche et droite sont représentées par des images fantômes. ISP 14.1.18</w:t>
            </w:r>
          </w:p>
          <w:p w14:paraId="2BC87BA2" w14:textId="5449DC1A" w:rsidR="00AD62E9" w:rsidRDefault="00163AB0" w:rsidP="00F20B33">
            <w:pPr>
              <w:pStyle w:val="Heading2"/>
              <w:spacing w:line="240" w:lineRule="auto"/>
            </w:pPr>
            <w:r>
              <w:rPr>
                <w:rFonts w:ascii="Open Sans" w:hAnsi="Open Sans"/>
                <w:b/>
                <w:color w:val="55565B"/>
                <w:sz w:val="24"/>
              </w:rPr>
              <w:t xml:space="preserve">Désignation des nouveaux lots et ensembles de lots </w:t>
            </w:r>
            <w:r>
              <w:rPr>
                <w:rFonts w:ascii="Open Sans" w:hAnsi="Open Sans"/>
                <w:color w:val="55565B"/>
                <w:sz w:val="24"/>
              </w:rPr>
              <w:t xml:space="preserve">(points 15.1.12, 13 et 14 des ISP)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308"/>
            </w:tblGrid>
            <w:tr w:rsidR="00AD62E9" w14:paraId="7231A2CA" w14:textId="77777777" w:rsidTr="00AD62E9">
              <w:tc>
                <w:tcPr>
                  <w:tcW w:w="4881" w:type="dxa"/>
                </w:tcPr>
                <w:p w14:paraId="69E6B373" w14:textId="1B244134" w:rsidR="00AD62E9" w:rsidRDefault="00AD62E9" w:rsidP="00AD62E9">
                  <w:pPr>
                    <w:pStyle w:val="ListParagraph"/>
                    <w:numPr>
                      <w:ilvl w:val="0"/>
                      <w:numId w:val="25"/>
                    </w:numPr>
                  </w:pPr>
                  <w:r>
                    <w:rPr>
                      <w:rFonts w:ascii="Open Sans" w:hAnsi="Open Sans"/>
                      <w:color w:val="55565B"/>
                      <w:sz w:val="20"/>
                    </w:rPr>
                    <w:t xml:space="preserve">Un seul lot représenté : indiqué comme « Lot 1 » </w:t>
                  </w:r>
                </w:p>
              </w:tc>
              <w:tc>
                <w:tcPr>
                  <w:tcW w:w="4353" w:type="dxa"/>
                </w:tcPr>
                <w:p w14:paraId="527F2169" w14:textId="612FF22F" w:rsidR="00AD62E9" w:rsidRDefault="00AD62E9" w:rsidP="00AD62E9">
                  <w:pPr>
                    <w:pStyle w:val="ListParagraph"/>
                    <w:numPr>
                      <w:ilvl w:val="0"/>
                      <w:numId w:val="25"/>
                    </w:numPr>
                  </w:pPr>
                  <w:r>
                    <w:rPr>
                      <w:rFonts w:ascii="Open Sans" w:hAnsi="Open Sans"/>
                      <w:color w:val="55565B"/>
                      <w:sz w:val="20"/>
                    </w:rPr>
                    <w:t>Plusieurs lots représentés : indiqués uniquement par des chiffres, en commençant par le lot 1</w:t>
                  </w:r>
                </w:p>
              </w:tc>
            </w:tr>
          </w:tbl>
          <w:p w14:paraId="3B0115D4" w14:textId="77777777" w:rsidR="00AD62E9" w:rsidRDefault="00AD62E9" w:rsidP="00AD62E9">
            <w:pPr>
              <w:pStyle w:val="ListParagraph"/>
              <w:spacing w:after="0" w:line="240" w:lineRule="auto"/>
              <w:ind w:left="360"/>
            </w:pPr>
          </w:p>
          <w:p w14:paraId="0094D074" w14:textId="4E7221B6"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 xml:space="preserve">Tous les ensembles de lots sont indiqués uniquement par des chiffres, en commençant par l’ensemble de lots 1, le cas échéant. </w:t>
            </w:r>
            <w:r>
              <w:rPr>
                <w:rFonts w:ascii="Open Sans" w:hAnsi="Open Sans"/>
                <w:color w:val="55565B"/>
                <w:sz w:val="20"/>
              </w:rPr>
              <w:br/>
            </w:r>
          </w:p>
          <w:p w14:paraId="680DAD68" w14:textId="21C3EBAB" w:rsidR="002B06F2" w:rsidRDefault="00550C32">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lastRenderedPageBreak/>
              <w:t xml:space="preserve">Tous les numéros des ensembles de lots sont en caractères gras et répétés pour plus de clarté, si nécessaire. </w:t>
            </w:r>
            <w:r>
              <w:rPr>
                <w:rFonts w:ascii="Open Sans" w:hAnsi="Open Sans"/>
                <w:color w:val="55565B"/>
                <w:sz w:val="20"/>
              </w:rPr>
              <w:br/>
            </w:r>
          </w:p>
          <w:p w14:paraId="6FC2629E" w14:textId="4A868872" w:rsidR="002B06F2" w:rsidRDefault="00550C32">
            <w:pPr>
              <w:pStyle w:val="ListParagraph"/>
              <w:numPr>
                <w:ilvl w:val="0"/>
                <w:numId w:val="22"/>
              </w:numPr>
              <w:spacing w:after="0" w:line="240" w:lineRule="auto"/>
            </w:pPr>
            <w:r>
              <w:rPr>
                <w:rFonts w:ascii="Open Sans" w:hAnsi="Open Sans"/>
                <w:color w:val="55565B"/>
                <w:sz w:val="20"/>
              </w:rPr>
              <w:t>Aucun ensemble de lots ne s</w:t>
            </w:r>
            <w:r w:rsidR="00BB1B23">
              <w:rPr>
                <w:rFonts w:ascii="Open Sans" w:hAnsi="Open Sans"/>
                <w:color w:val="55565B"/>
                <w:sz w:val="20"/>
              </w:rPr>
              <w:t>’</w:t>
            </w:r>
            <w:r>
              <w:rPr>
                <w:rFonts w:ascii="Open Sans" w:hAnsi="Open Sans"/>
                <w:color w:val="55565B"/>
                <w:sz w:val="20"/>
              </w:rPr>
              <w:t>étend sur des zones d</w:t>
            </w:r>
            <w:r w:rsidR="00BB1B23">
              <w:rPr>
                <w:rFonts w:ascii="Open Sans" w:hAnsi="Open Sans"/>
                <w:color w:val="55565B"/>
                <w:sz w:val="20"/>
              </w:rPr>
              <w:t>’</w:t>
            </w:r>
            <w:r>
              <w:rPr>
                <w:rFonts w:ascii="Open Sans" w:hAnsi="Open Sans"/>
                <w:color w:val="55565B"/>
                <w:sz w:val="20"/>
              </w:rPr>
              <w:t>utilité publique (à l</w:t>
            </w:r>
            <w:r w:rsidR="00BB1B23">
              <w:rPr>
                <w:rFonts w:ascii="Open Sans" w:hAnsi="Open Sans"/>
                <w:color w:val="55565B"/>
                <w:sz w:val="20"/>
              </w:rPr>
              <w:t>’</w:t>
            </w:r>
            <w:r>
              <w:rPr>
                <w:rFonts w:ascii="Open Sans" w:hAnsi="Open Sans"/>
                <w:color w:val="55565B"/>
                <w:sz w:val="20"/>
              </w:rPr>
              <w:t>exception des ruelles publiques, des promenades publiques et des réserves publiques).</w:t>
            </w:r>
          </w:p>
          <w:p w14:paraId="0F4E4C06" w14:textId="77777777" w:rsidR="002B06F2" w:rsidRDefault="00163AB0">
            <w:pPr>
              <w:pStyle w:val="Heading2"/>
              <w:spacing w:line="240" w:lineRule="auto"/>
              <w:rPr>
                <w:rFonts w:ascii="Open Sans" w:hAnsi="Open Sans" w:cs="Open Sans"/>
                <w:b/>
                <w:bCs/>
                <w:color w:val="55565B"/>
                <w:sz w:val="24"/>
                <w:szCs w:val="24"/>
              </w:rPr>
            </w:pPr>
            <w:r>
              <w:rPr>
                <w:rFonts w:ascii="Open Sans" w:hAnsi="Open Sans"/>
                <w:b/>
                <w:color w:val="55565B"/>
                <w:sz w:val="24"/>
              </w:rPr>
              <w:t>Nouveaux équipements publics et emprises</w:t>
            </w:r>
          </w:p>
          <w:p w14:paraId="49C74923" w14:textId="0CBDA626" w:rsidR="002B06F2" w:rsidRDefault="00163AB0">
            <w:pPr>
              <w:pStyle w:val="ListParagraph"/>
              <w:numPr>
                <w:ilvl w:val="0"/>
                <w:numId w:val="22"/>
              </w:numPr>
              <w:spacing w:after="0" w:line="240" w:lineRule="auto"/>
            </w:pPr>
            <w:r>
              <w:rPr>
                <w:rFonts w:ascii="Open Sans" w:hAnsi="Open Sans"/>
                <w:color w:val="55565B"/>
                <w:sz w:val="20"/>
              </w:rPr>
              <w:t>Réserves publiques : indiquées à l</w:t>
            </w:r>
            <w:r w:rsidR="00BB1B23">
              <w:rPr>
                <w:rFonts w:ascii="Open Sans" w:hAnsi="Open Sans"/>
                <w:color w:val="55565B"/>
                <w:sz w:val="20"/>
              </w:rPr>
              <w:t>’</w:t>
            </w:r>
            <w:r>
              <w:rPr>
                <w:rFonts w:ascii="Open Sans" w:hAnsi="Open Sans"/>
                <w:color w:val="55565B"/>
                <w:sz w:val="20"/>
              </w:rPr>
              <w:t>aide de lettres consécutives (A, B, C, D), s</w:t>
            </w:r>
            <w:r w:rsidR="00BB1B23">
              <w:rPr>
                <w:rFonts w:ascii="Open Sans" w:hAnsi="Open Sans"/>
                <w:color w:val="55565B"/>
                <w:sz w:val="20"/>
              </w:rPr>
              <w:t>’</w:t>
            </w:r>
            <w:r>
              <w:rPr>
                <w:rFonts w:ascii="Open Sans" w:hAnsi="Open Sans"/>
                <w:color w:val="55565B"/>
                <w:sz w:val="20"/>
              </w:rPr>
              <w:t>il y en a plus d</w:t>
            </w:r>
            <w:r w:rsidR="00BB1B23">
              <w:rPr>
                <w:rFonts w:ascii="Open Sans" w:hAnsi="Open Sans"/>
                <w:color w:val="55565B"/>
                <w:sz w:val="20"/>
              </w:rPr>
              <w:t>’</w:t>
            </w:r>
            <w:r>
              <w:rPr>
                <w:rFonts w:ascii="Open Sans" w:hAnsi="Open Sans"/>
                <w:color w:val="55565B"/>
                <w:sz w:val="20"/>
              </w:rPr>
              <w:t>une ISP 15.1.17</w:t>
            </w:r>
            <w:r>
              <w:rPr>
                <w:rFonts w:ascii="Open Sans" w:hAnsi="Open Sans"/>
                <w:color w:val="55565B"/>
                <w:sz w:val="20"/>
              </w:rPr>
              <w:br/>
            </w:r>
          </w:p>
          <w:p w14:paraId="7D4D9E13" w14:textId="4EA93009"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Ruelles et promenades publiques : représentées ouvertes vers les rues publiques, mais fermées lorsqu</w:t>
            </w:r>
            <w:r w:rsidR="00BB1B23">
              <w:rPr>
                <w:rFonts w:ascii="Open Sans" w:hAnsi="Open Sans"/>
                <w:color w:val="55565B"/>
                <w:sz w:val="20"/>
              </w:rPr>
              <w:t>’</w:t>
            </w:r>
            <w:r>
              <w:rPr>
                <w:rFonts w:ascii="Open Sans" w:hAnsi="Open Sans"/>
                <w:color w:val="55565B"/>
                <w:sz w:val="20"/>
              </w:rPr>
              <w:t>elles sont adjacentes à une réserve publique ISP 15.1.19</w:t>
            </w:r>
            <w:r>
              <w:rPr>
                <w:rFonts w:ascii="Open Sans" w:hAnsi="Open Sans"/>
                <w:color w:val="55565B"/>
                <w:sz w:val="20"/>
              </w:rPr>
              <w:br/>
            </w:r>
          </w:p>
          <w:p w14:paraId="25B6415B" w14:textId="086AFFD1"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emprises publiques sont indiquées. ISP 15.1.16 et 18</w:t>
            </w:r>
          </w:p>
          <w:p w14:paraId="5BF5FCAD" w14:textId="77777777" w:rsidR="002B06F2" w:rsidRDefault="00163AB0">
            <w:pPr>
              <w:pStyle w:val="ListParagraph"/>
              <w:spacing w:after="0" w:line="240" w:lineRule="auto"/>
              <w:rPr>
                <w:rFonts w:ascii="Open Sans" w:hAnsi="Open Sans" w:cs="Open Sans"/>
                <w:color w:val="55565B"/>
                <w:sz w:val="20"/>
                <w:szCs w:val="20"/>
              </w:rPr>
            </w:pPr>
            <w:r>
              <w:rPr>
                <w:rFonts w:ascii="Open Sans" w:hAnsi="Open Sans"/>
                <w:color w:val="55565B"/>
                <w:sz w:val="20"/>
              </w:rPr>
              <w:t>Si l’emprise est parallèle : la largeur perpendiculaire est indiquée deux fois par parcours.</w:t>
            </w:r>
          </w:p>
          <w:p w14:paraId="06EB50AB" w14:textId="412BA205" w:rsidR="002B06F2" w:rsidRDefault="00163AB0">
            <w:pPr>
              <w:pStyle w:val="ListParagraph"/>
              <w:spacing w:after="0" w:line="240" w:lineRule="auto"/>
              <w:rPr>
                <w:rFonts w:ascii="Open Sans" w:hAnsi="Open Sans" w:cs="Open Sans"/>
                <w:color w:val="55565B"/>
                <w:sz w:val="20"/>
                <w:szCs w:val="20"/>
              </w:rPr>
            </w:pPr>
            <w:r>
              <w:rPr>
                <w:rFonts w:ascii="Open Sans" w:hAnsi="Open Sans"/>
                <w:color w:val="55565B"/>
                <w:sz w:val="20"/>
              </w:rPr>
              <w:t>Si l’emprise n’est pas parallèle : la distance de la pente est indiquée en cas de croisement en diagonale.</w:t>
            </w:r>
          </w:p>
          <w:p w14:paraId="0C825F1B" w14:textId="58793005" w:rsidR="002B06F2" w:rsidRDefault="00163AB0">
            <w:pPr>
              <w:pStyle w:val="ListParagraph"/>
              <w:spacing w:after="0" w:line="240" w:lineRule="auto"/>
              <w:rPr>
                <w:rFonts w:ascii="Open Sans" w:hAnsi="Open Sans" w:cs="Open Sans"/>
                <w:color w:val="55565B"/>
                <w:sz w:val="20"/>
                <w:szCs w:val="20"/>
              </w:rPr>
            </w:pPr>
            <w:r>
              <w:rPr>
                <w:rFonts w:ascii="Open Sans" w:hAnsi="Open Sans"/>
                <w:color w:val="55565B"/>
                <w:sz w:val="20"/>
              </w:rPr>
              <w:t xml:space="preserve">Les chemins publics sont nommés ou </w:t>
            </w:r>
            <w:r w:rsidR="006976D0">
              <w:rPr>
                <w:rFonts w:ascii="Open Sans" w:hAnsi="Open Sans"/>
                <w:color w:val="55565B"/>
                <w:sz w:val="20"/>
              </w:rPr>
              <w:t xml:space="preserve">sont </w:t>
            </w:r>
            <w:r>
              <w:rPr>
                <w:rFonts w:ascii="Open Sans" w:hAnsi="Open Sans"/>
                <w:color w:val="55565B"/>
                <w:sz w:val="20"/>
              </w:rPr>
              <w:t>indiqués comme « chemin public ».</w:t>
            </w:r>
          </w:p>
          <w:p w14:paraId="00873E05" w14:textId="76910A95" w:rsidR="002B06F2" w:rsidRPr="00F20B33" w:rsidRDefault="00163AB0">
            <w:pPr>
              <w:pStyle w:val="Heading2"/>
              <w:spacing w:line="240" w:lineRule="auto"/>
              <w:rPr>
                <w:rFonts w:ascii="Open Sans" w:hAnsi="Open Sans" w:cs="Open Sans"/>
                <w:color w:val="55565B"/>
                <w:sz w:val="24"/>
                <w:szCs w:val="24"/>
              </w:rPr>
            </w:pPr>
            <w:r>
              <w:rPr>
                <w:rFonts w:ascii="Open Sans" w:hAnsi="Open Sans"/>
                <w:b/>
                <w:color w:val="55565B"/>
                <w:sz w:val="24"/>
              </w:rPr>
              <w:t xml:space="preserve">Géométrie </w:t>
            </w:r>
            <w:r>
              <w:rPr>
                <w:rFonts w:ascii="Open Sans" w:hAnsi="Open Sans"/>
                <w:color w:val="55565B"/>
                <w:sz w:val="24"/>
              </w:rPr>
              <w:t>(ISP 15.1.10)</w:t>
            </w:r>
          </w:p>
          <w:p w14:paraId="5F62E390" w14:textId="77777777"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Toutes les dimensions linéaires et les angles sont indiqués.</w:t>
            </w:r>
          </w:p>
          <w:p w14:paraId="6FC0E96C" w14:textId="48C8AC9E" w:rsidR="002B06F2" w:rsidRDefault="00163AB0">
            <w:pPr>
              <w:pStyle w:val="ListParagraph"/>
              <w:spacing w:after="0" w:line="240" w:lineRule="auto"/>
              <w:rPr>
                <w:rFonts w:ascii="Open Sans" w:hAnsi="Open Sans" w:cs="Open Sans"/>
                <w:color w:val="55565B"/>
                <w:sz w:val="20"/>
                <w:szCs w:val="20"/>
              </w:rPr>
            </w:pPr>
            <w:r>
              <w:rPr>
                <w:rFonts w:ascii="Open Sans" w:hAnsi="Open Sans"/>
                <w:color w:val="55565B"/>
                <w:sz w:val="20"/>
              </w:rPr>
              <w:t>Le cas échéant, l</w:t>
            </w:r>
            <w:r w:rsidR="00BB1B23">
              <w:rPr>
                <w:rFonts w:ascii="Open Sans" w:hAnsi="Open Sans"/>
                <w:color w:val="55565B"/>
                <w:sz w:val="20"/>
              </w:rPr>
              <w:t>’</w:t>
            </w:r>
            <w:r>
              <w:rPr>
                <w:rFonts w:ascii="Open Sans" w:hAnsi="Open Sans"/>
                <w:color w:val="55565B"/>
                <w:sz w:val="20"/>
              </w:rPr>
              <w:t>angle par rapport à la ligne radiale est indiqué lorsque des limites non radiales coupent une limite courbe.</w:t>
            </w:r>
          </w:p>
          <w:p w14:paraId="56C7BEEE" w14:textId="77777777" w:rsidR="002B06F2" w:rsidRDefault="002B06F2">
            <w:pPr>
              <w:pStyle w:val="ListParagraph"/>
              <w:spacing w:after="0" w:line="240" w:lineRule="auto"/>
              <w:ind w:left="360"/>
              <w:rPr>
                <w:rFonts w:ascii="Open Sans" w:hAnsi="Open Sans" w:cs="Open Sans"/>
                <w:color w:val="55565B"/>
                <w:sz w:val="20"/>
                <w:szCs w:val="20"/>
              </w:rPr>
            </w:pPr>
          </w:p>
          <w:p w14:paraId="47F4A37A" w14:textId="741DFB62" w:rsidR="002B06F2" w:rsidRDefault="00163AB0">
            <w:pPr>
              <w:pStyle w:val="ListParagraph"/>
              <w:numPr>
                <w:ilvl w:val="0"/>
                <w:numId w:val="22"/>
              </w:numPr>
              <w:spacing w:after="0" w:line="240" w:lineRule="auto"/>
            </w:pPr>
            <w:r>
              <w:rPr>
                <w:rFonts w:ascii="Open Sans" w:hAnsi="Open Sans"/>
                <w:color w:val="55565B"/>
                <w:sz w:val="20"/>
              </w:rPr>
              <w:t>Tous les chiffres sont mathématiquement proches, avec une marge de tolérance.</w:t>
            </w:r>
            <w:r>
              <w:rPr>
                <w:rFonts w:ascii="Open Sans" w:hAnsi="Open Sans"/>
                <w:color w:val="55565B"/>
                <w:sz w:val="20"/>
              </w:rPr>
              <w:br/>
            </w:r>
          </w:p>
          <w:p w14:paraId="0F305232" w14:textId="5B023BFE" w:rsidR="002B06F2" w:rsidRDefault="00163AB0">
            <w:pPr>
              <w:pStyle w:val="ListParagraph"/>
              <w:numPr>
                <w:ilvl w:val="0"/>
                <w:numId w:val="22"/>
              </w:numPr>
              <w:spacing w:after="0" w:line="240" w:lineRule="auto"/>
            </w:pPr>
            <w:r>
              <w:rPr>
                <w:rFonts w:ascii="Open Sans" w:hAnsi="Open Sans"/>
                <w:color w:val="55565B"/>
                <w:sz w:val="20"/>
              </w:rPr>
              <w:t xml:space="preserve">Lots : les profondeurs et les angles peuvent être omis si les limites sont clairement parallèles. </w:t>
            </w:r>
            <w:r>
              <w:rPr>
                <w:rFonts w:ascii="Open Sans" w:hAnsi="Open Sans"/>
                <w:color w:val="55565B"/>
                <w:sz w:val="20"/>
              </w:rPr>
              <w:br/>
            </w:r>
          </w:p>
          <w:p w14:paraId="4BCDF798" w14:textId="1DF827A1" w:rsidR="002B06F2" w:rsidRDefault="00163AB0">
            <w:pPr>
              <w:pStyle w:val="ListParagraph"/>
              <w:numPr>
                <w:ilvl w:val="0"/>
                <w:numId w:val="22"/>
              </w:numPr>
              <w:spacing w:after="0" w:line="240" w:lineRule="auto"/>
              <w:rPr>
                <w:rFonts w:ascii="Open Sans" w:hAnsi="Open Sans" w:cs="Open Sans"/>
                <w:color w:val="55565B"/>
                <w:sz w:val="20"/>
                <w:szCs w:val="20"/>
              </w:rPr>
            </w:pPr>
            <w:r>
              <w:rPr>
                <w:rFonts w:ascii="Open Sans" w:hAnsi="Open Sans"/>
                <w:color w:val="55565B"/>
                <w:sz w:val="20"/>
              </w:rPr>
              <w:t>Limites courbes : la longueur de l</w:t>
            </w:r>
            <w:r w:rsidR="00BB1B23">
              <w:rPr>
                <w:rFonts w:ascii="Open Sans" w:hAnsi="Open Sans"/>
                <w:color w:val="55565B"/>
                <w:sz w:val="20"/>
              </w:rPr>
              <w:t>’</w:t>
            </w:r>
            <w:r>
              <w:rPr>
                <w:rFonts w:ascii="Open Sans" w:hAnsi="Open Sans"/>
                <w:color w:val="55565B"/>
                <w:sz w:val="20"/>
              </w:rPr>
              <w:t>arc, le rayon et l</w:t>
            </w:r>
            <w:r w:rsidR="00BB1B23">
              <w:rPr>
                <w:rFonts w:ascii="Open Sans" w:hAnsi="Open Sans"/>
                <w:color w:val="55565B"/>
                <w:sz w:val="20"/>
              </w:rPr>
              <w:t>’</w:t>
            </w:r>
            <w:r>
              <w:rPr>
                <w:rFonts w:ascii="Open Sans" w:hAnsi="Open Sans"/>
                <w:color w:val="55565B"/>
                <w:sz w:val="20"/>
              </w:rPr>
              <w:t>angle de déflexion total sont indiqués. Le point de courbure inverse et le point de courbure composée sont indiqués.</w:t>
            </w:r>
          </w:p>
        </w:tc>
      </w:tr>
    </w:tbl>
    <w:p w14:paraId="1DD8DE8C" w14:textId="43B1DF1D" w:rsidR="002B06F2" w:rsidRDefault="00D656F5" w:rsidP="00D656F5">
      <w:pPr>
        <w:pStyle w:val="Heading1"/>
        <w:spacing w:line="240" w:lineRule="auto"/>
        <w:jc w:val="center"/>
        <w:rPr>
          <w:rFonts w:ascii="Open Sans" w:hAnsi="Open Sans" w:cs="Open Sans"/>
          <w:b/>
          <w:bCs/>
          <w:color w:val="55565B"/>
          <w:sz w:val="28"/>
          <w:szCs w:val="28"/>
        </w:rPr>
      </w:pPr>
      <w:r>
        <w:rPr>
          <w:rFonts w:ascii="Open Sans" w:hAnsi="Open Sans"/>
          <w:b/>
          <w:color w:val="55565B"/>
          <w:sz w:val="28"/>
        </w:rPr>
        <w:lastRenderedPageBreak/>
        <w:t>Enregistrement</w:t>
      </w:r>
    </w:p>
    <w:tbl>
      <w:tblPr>
        <w:tblW w:w="9350" w:type="dxa"/>
        <w:tblCellMar>
          <w:left w:w="10" w:type="dxa"/>
          <w:right w:w="10" w:type="dxa"/>
        </w:tblCellMar>
        <w:tblLook w:val="04A0" w:firstRow="1" w:lastRow="0" w:firstColumn="1" w:lastColumn="0" w:noHBand="0" w:noVBand="1"/>
      </w:tblPr>
      <w:tblGrid>
        <w:gridCol w:w="9350"/>
      </w:tblGrid>
      <w:tr w:rsidR="002B06F2" w14:paraId="24504DAA" w14:textId="77777777">
        <w:trPr>
          <w:trHeight w:val="70"/>
        </w:trPr>
        <w:tc>
          <w:tcPr>
            <w:tcW w:w="9350" w:type="dxa"/>
            <w:tcMar>
              <w:top w:w="0" w:type="dxa"/>
              <w:left w:w="108" w:type="dxa"/>
              <w:bottom w:w="0" w:type="dxa"/>
              <w:right w:w="108" w:type="dxa"/>
            </w:tcMar>
          </w:tcPr>
          <w:p w14:paraId="23DE5ADB" w14:textId="77777777" w:rsidR="002B06F2" w:rsidRDefault="002B06F2">
            <w:pPr>
              <w:spacing w:after="0" w:line="240" w:lineRule="auto"/>
              <w:rPr>
                <w:rFonts w:ascii="Open Sans" w:hAnsi="Open Sans" w:cs="Open Sans"/>
                <w:b/>
                <w:bCs/>
                <w:color w:val="55565B"/>
                <w:sz w:val="20"/>
                <w:szCs w:val="20"/>
              </w:rPr>
            </w:pPr>
          </w:p>
        </w:tc>
      </w:tr>
      <w:tr w:rsidR="002B06F2" w14:paraId="5A8766C5" w14:textId="77777777">
        <w:trPr>
          <w:trHeight w:val="80"/>
        </w:trPr>
        <w:tc>
          <w:tcPr>
            <w:tcW w:w="9350" w:type="dxa"/>
            <w:tcMar>
              <w:top w:w="0" w:type="dxa"/>
              <w:left w:w="108" w:type="dxa"/>
              <w:bottom w:w="0" w:type="dxa"/>
              <w:right w:w="108" w:type="dxa"/>
            </w:tcMar>
          </w:tcPr>
          <w:p w14:paraId="37C03EE3" w14:textId="79A302B6" w:rsidR="002B06F2" w:rsidRDefault="00550C32">
            <w:pPr>
              <w:pStyle w:val="ListParagraph"/>
              <w:numPr>
                <w:ilvl w:val="0"/>
                <w:numId w:val="23"/>
              </w:numPr>
              <w:spacing w:after="0" w:line="240" w:lineRule="auto"/>
              <w:rPr>
                <w:rFonts w:ascii="Open Sans" w:hAnsi="Open Sans" w:cs="Open Sans"/>
                <w:color w:val="55565B"/>
                <w:sz w:val="20"/>
                <w:szCs w:val="20"/>
              </w:rPr>
            </w:pPr>
            <w:r>
              <w:rPr>
                <w:rFonts w:ascii="Open Sans" w:hAnsi="Open Sans"/>
                <w:color w:val="55565B"/>
                <w:sz w:val="20"/>
              </w:rPr>
              <w:t>Le numéro de dépôt est ajouté dans le coin supérieur droit du plan.</w:t>
            </w:r>
            <w:r>
              <w:rPr>
                <w:rFonts w:ascii="Open Sans" w:hAnsi="Open Sans"/>
                <w:color w:val="55565B"/>
                <w:sz w:val="20"/>
              </w:rPr>
              <w:br/>
            </w:r>
          </w:p>
          <w:p w14:paraId="653952EB" w14:textId="77777777" w:rsidR="002B06F2" w:rsidRDefault="00163AB0">
            <w:pPr>
              <w:pStyle w:val="ListParagraph"/>
              <w:numPr>
                <w:ilvl w:val="0"/>
                <w:numId w:val="23"/>
              </w:numPr>
              <w:spacing w:after="0" w:line="240" w:lineRule="auto"/>
              <w:rPr>
                <w:rFonts w:ascii="Open Sans" w:hAnsi="Open Sans" w:cs="Open Sans"/>
                <w:color w:val="55565B"/>
                <w:sz w:val="20"/>
                <w:szCs w:val="20"/>
              </w:rPr>
            </w:pPr>
            <w:r>
              <w:rPr>
                <w:rFonts w:ascii="Open Sans" w:hAnsi="Open Sans"/>
                <w:color w:val="55565B"/>
                <w:sz w:val="20"/>
              </w:rPr>
              <w:t>Les copies du plan sont réalisées après que le dépôt a été accepté à titre provisoire et que la désignation des copies a été approuvée.</w:t>
            </w:r>
            <w:r>
              <w:rPr>
                <w:rFonts w:ascii="Open Sans" w:hAnsi="Open Sans"/>
                <w:color w:val="55565B"/>
                <w:sz w:val="20"/>
              </w:rPr>
              <w:br/>
            </w:r>
          </w:p>
          <w:p w14:paraId="632EF402" w14:textId="7D56EB45" w:rsidR="002B06F2" w:rsidRPr="001F6C0B" w:rsidRDefault="00550C32">
            <w:pPr>
              <w:pStyle w:val="ListParagraph"/>
              <w:numPr>
                <w:ilvl w:val="0"/>
                <w:numId w:val="23"/>
              </w:numPr>
              <w:spacing w:after="0" w:line="240" w:lineRule="auto"/>
              <w:rPr>
                <w:rFonts w:ascii="Open Sans" w:hAnsi="Open Sans" w:cs="Open Sans"/>
                <w:color w:val="55565B"/>
                <w:sz w:val="20"/>
                <w:szCs w:val="20"/>
              </w:rPr>
            </w:pPr>
            <w:r>
              <w:rPr>
                <w:rFonts w:ascii="Open Sans" w:hAnsi="Open Sans"/>
                <w:color w:val="55565B"/>
                <w:sz w:val="20"/>
              </w:rPr>
              <w:t>Le nombre de copies de plan à préparer pour la soumission dépend de ce qui figure à l</w:t>
            </w:r>
            <w:r w:rsidR="00BB1B23">
              <w:rPr>
                <w:rFonts w:ascii="Open Sans" w:hAnsi="Open Sans"/>
                <w:color w:val="55565B"/>
                <w:sz w:val="20"/>
              </w:rPr>
              <w:t>’</w:t>
            </w:r>
            <w:r>
              <w:rPr>
                <w:rFonts w:ascii="Open Sans" w:hAnsi="Open Sans"/>
                <w:color w:val="55565B"/>
                <w:sz w:val="20"/>
              </w:rPr>
              <w:t xml:space="preserve">annexe A du </w:t>
            </w:r>
            <w:hyperlink r:id="rId7" w:history="1">
              <w:r>
                <w:rPr>
                  <w:rStyle w:val="Hyperlink"/>
                  <w:rFonts w:ascii="Open Sans" w:hAnsi="Open Sans"/>
                  <w:sz w:val="20"/>
                </w:rPr>
                <w:t>Guide d</w:t>
              </w:r>
              <w:r w:rsidR="00BB1B23">
                <w:rPr>
                  <w:rStyle w:val="Hyperlink"/>
                  <w:rFonts w:ascii="Open Sans" w:hAnsi="Open Sans"/>
                  <w:sz w:val="20"/>
                </w:rPr>
                <w:t>’</w:t>
              </w:r>
              <w:r>
                <w:rPr>
                  <w:rStyle w:val="Hyperlink"/>
                  <w:rFonts w:ascii="Open Sans" w:hAnsi="Open Sans"/>
                  <w:sz w:val="20"/>
                </w:rPr>
                <w:t>enregistrement de plans</w:t>
              </w:r>
            </w:hyperlink>
            <w:r>
              <w:rPr>
                <w:rFonts w:ascii="Open Sans" w:hAnsi="Open Sans"/>
                <w:color w:val="55565B"/>
                <w:sz w:val="20"/>
              </w:rPr>
              <w:t> :</w:t>
            </w:r>
          </w:p>
          <w:p w14:paraId="1B53ED7C" w14:textId="51510D22" w:rsidR="002B06F2" w:rsidRDefault="00163AB0">
            <w:pPr>
              <w:pStyle w:val="ListParagraph"/>
              <w:spacing w:after="0" w:line="240" w:lineRule="auto"/>
              <w:rPr>
                <w:rFonts w:ascii="Open Sans" w:hAnsi="Open Sans" w:cs="Open Sans"/>
                <w:color w:val="55565B"/>
                <w:sz w:val="20"/>
                <w:szCs w:val="20"/>
              </w:rPr>
            </w:pPr>
            <w:proofErr w:type="gramStart"/>
            <w:r>
              <w:rPr>
                <w:rFonts w:ascii="Open Sans" w:hAnsi="Open Sans"/>
                <w:color w:val="55565B"/>
                <w:sz w:val="20"/>
              </w:rPr>
              <w:t>si</w:t>
            </w:r>
            <w:proofErr w:type="gramEnd"/>
            <w:r>
              <w:rPr>
                <w:rFonts w:ascii="Open Sans" w:hAnsi="Open Sans"/>
                <w:color w:val="55565B"/>
                <w:sz w:val="20"/>
              </w:rPr>
              <w:t xml:space="preserve"> la municipalité est dans la liste des accords sur les plans numériques : une copie de plan est requise;</w:t>
            </w:r>
          </w:p>
          <w:p w14:paraId="234758A0" w14:textId="77777777" w:rsidR="002B06F2" w:rsidRDefault="00163AB0">
            <w:pPr>
              <w:pStyle w:val="ListParagraph"/>
              <w:spacing w:after="0" w:line="240" w:lineRule="auto"/>
              <w:rPr>
                <w:rFonts w:ascii="Open Sans" w:hAnsi="Open Sans" w:cs="Open Sans"/>
                <w:color w:val="55565B"/>
                <w:sz w:val="20"/>
                <w:szCs w:val="20"/>
              </w:rPr>
            </w:pPr>
            <w:proofErr w:type="gramStart"/>
            <w:r>
              <w:rPr>
                <w:rFonts w:ascii="Open Sans" w:hAnsi="Open Sans"/>
                <w:color w:val="55565B"/>
                <w:sz w:val="20"/>
              </w:rPr>
              <w:t>si</w:t>
            </w:r>
            <w:proofErr w:type="gramEnd"/>
            <w:r>
              <w:rPr>
                <w:rFonts w:ascii="Open Sans" w:hAnsi="Open Sans"/>
                <w:color w:val="55565B"/>
                <w:sz w:val="20"/>
              </w:rPr>
              <w:t xml:space="preserve"> la municipalité n’est pas dans cette liste : deux copies de plan sont requises.</w:t>
            </w:r>
          </w:p>
          <w:p w14:paraId="7DCA7214" w14:textId="62D4F653" w:rsidR="00F20B33" w:rsidRDefault="00F20B33">
            <w:pPr>
              <w:pStyle w:val="ListParagraph"/>
              <w:spacing w:after="0" w:line="240" w:lineRule="auto"/>
            </w:pPr>
          </w:p>
        </w:tc>
      </w:tr>
    </w:tbl>
    <w:p w14:paraId="57C45723" w14:textId="044AC213" w:rsidR="001F6C0B" w:rsidRPr="007332A8" w:rsidRDefault="001F6C0B" w:rsidP="00F20B33">
      <w:pPr>
        <w:spacing w:line="240" w:lineRule="auto"/>
        <w:rPr>
          <w:rFonts w:ascii="Open Sans" w:hAnsi="Open Sans"/>
          <w:color w:val="595959" w:themeColor="text1" w:themeTint="A6"/>
          <w:sz w:val="20"/>
        </w:rPr>
      </w:pPr>
      <w:r>
        <w:rPr>
          <w:rFonts w:ascii="Open Sans" w:hAnsi="Open Sans"/>
          <w:color w:val="595959" w:themeColor="text1" w:themeTint="A6"/>
          <w:sz w:val="20"/>
        </w:rPr>
        <w:t>Les plans doivent être enregistrés par l</w:t>
      </w:r>
      <w:r w:rsidR="00BB1B23">
        <w:rPr>
          <w:rFonts w:ascii="Open Sans" w:hAnsi="Open Sans"/>
          <w:color w:val="595959" w:themeColor="text1" w:themeTint="A6"/>
          <w:sz w:val="20"/>
        </w:rPr>
        <w:t>’</w:t>
      </w:r>
      <w:r>
        <w:rPr>
          <w:rFonts w:ascii="Open Sans" w:hAnsi="Open Sans"/>
          <w:color w:val="595959" w:themeColor="text1" w:themeTint="A6"/>
          <w:sz w:val="20"/>
        </w:rPr>
        <w:t>intermédiaire de l’enregistrement électronique et accompagnés d</w:t>
      </w:r>
      <w:r w:rsidR="00BB1B23">
        <w:rPr>
          <w:rFonts w:ascii="Open Sans" w:hAnsi="Open Sans"/>
          <w:color w:val="595959" w:themeColor="text1" w:themeTint="A6"/>
          <w:sz w:val="20"/>
        </w:rPr>
        <w:t>’</w:t>
      </w:r>
      <w:r>
        <w:rPr>
          <w:rFonts w:ascii="Open Sans" w:hAnsi="Open Sans"/>
          <w:color w:val="595959" w:themeColor="text1" w:themeTint="A6"/>
          <w:sz w:val="20"/>
        </w:rPr>
        <w:t>une liste de contrôle de l</w:t>
      </w:r>
      <w:r w:rsidR="00BB1B23">
        <w:rPr>
          <w:rFonts w:ascii="Open Sans" w:hAnsi="Open Sans"/>
          <w:color w:val="595959" w:themeColor="text1" w:themeTint="A6"/>
          <w:sz w:val="20"/>
        </w:rPr>
        <w:t>’</w:t>
      </w:r>
      <w:r>
        <w:rPr>
          <w:rFonts w:ascii="Open Sans" w:hAnsi="Open Sans"/>
          <w:color w:val="595959" w:themeColor="text1" w:themeTint="A6"/>
          <w:sz w:val="20"/>
        </w:rPr>
        <w:t xml:space="preserve">enregistrement de plan (formulaire 31).           </w:t>
      </w:r>
      <w:r w:rsidR="007332A8">
        <w:rPr>
          <w:rFonts w:ascii="Open Sans" w:hAnsi="Open Sans"/>
          <w:color w:val="595959" w:themeColor="text1" w:themeTint="A6"/>
          <w:sz w:val="20"/>
        </w:rPr>
        <w:br/>
      </w:r>
      <w:r>
        <w:rPr>
          <w:rFonts w:ascii="Open Sans" w:hAnsi="Open Sans"/>
          <w:color w:val="595959" w:themeColor="text1" w:themeTint="A6"/>
          <w:sz w:val="20"/>
        </w:rPr>
        <w:t>Pour en savoir plus, visite</w:t>
      </w:r>
      <w:r w:rsidR="007332A8">
        <w:rPr>
          <w:rFonts w:ascii="Open Sans" w:hAnsi="Open Sans"/>
          <w:color w:val="595959" w:themeColor="text1" w:themeTint="A6"/>
          <w:sz w:val="20"/>
        </w:rPr>
        <w:t>r</w:t>
      </w:r>
      <w:r>
        <w:rPr>
          <w:rFonts w:ascii="Open Sans" w:hAnsi="Open Sans"/>
          <w:color w:val="595959" w:themeColor="text1" w:themeTint="A6"/>
          <w:sz w:val="20"/>
        </w:rPr>
        <w:t xml:space="preserve"> le site </w:t>
      </w:r>
      <w:hyperlink r:id="rId8" w:history="1">
        <w:r>
          <w:rPr>
            <w:rStyle w:val="Hyperlink"/>
            <w:rFonts w:ascii="Open Sans" w:hAnsi="Open Sans"/>
            <w:sz w:val="20"/>
          </w:rPr>
          <w:t>www.teranetmanitoba.ca/fr/</w:t>
        </w:r>
      </w:hyperlink>
      <w:r>
        <w:rPr>
          <w:rFonts w:ascii="Open Sans" w:hAnsi="Open Sans"/>
          <w:color w:val="595959" w:themeColor="text1" w:themeTint="A6"/>
          <w:sz w:val="20"/>
        </w:rPr>
        <w:t>.</w:t>
      </w:r>
    </w:p>
    <w:sectPr w:rsidR="001F6C0B" w:rsidRPr="007332A8" w:rsidSect="00F20B33">
      <w:footerReference w:type="default" r:id="rId9"/>
      <w:headerReference w:type="first" r:id="rId10"/>
      <w:footerReference w:type="first" r:id="rId11"/>
      <w:pgSz w:w="12240" w:h="2016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641E" w14:textId="77777777" w:rsidR="004D6DCE" w:rsidRDefault="004D6DCE">
      <w:pPr>
        <w:spacing w:after="0" w:line="240" w:lineRule="auto"/>
      </w:pPr>
      <w:r>
        <w:separator/>
      </w:r>
    </w:p>
  </w:endnote>
  <w:endnote w:type="continuationSeparator" w:id="0">
    <w:p w14:paraId="63C6F73D" w14:textId="77777777" w:rsidR="004D6DCE" w:rsidRDefault="004D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B0B9" w14:textId="38170DFD" w:rsidR="00163AB0" w:rsidRDefault="00F20B33" w:rsidP="009211DD">
    <w:pPr>
      <w:spacing w:line="240" w:lineRule="auto"/>
      <w:jc w:val="center"/>
    </w:pPr>
    <w:r>
      <w:rPr>
        <w:rFonts w:ascii="Open Sans" w:hAnsi="Open Sans"/>
        <w:color w:val="55565B"/>
        <w:sz w:val="20"/>
      </w:rPr>
      <w:t xml:space="preserve">Les plans doivent être conformes aux </w:t>
    </w:r>
    <w:r w:rsidR="009211DD">
      <w:rPr>
        <w:rFonts w:ascii="Open Sans" w:hAnsi="Open Sans"/>
        <w:color w:val="55565B"/>
        <w:sz w:val="20"/>
      </w:rPr>
      <w:t xml:space="preserve">instructions relatives </w:t>
    </w:r>
    <w:r w:rsidR="009211DD">
      <w:rPr>
        <w:rFonts w:ascii="Open Sans" w:hAnsi="Open Sans"/>
        <w:color w:val="55565B"/>
        <w:sz w:val="20"/>
      </w:rPr>
      <w:br/>
    </w:r>
    <w:r w:rsidR="009211DD">
      <w:rPr>
        <w:rFonts w:ascii="Open Sans" w:hAnsi="Open Sans"/>
        <w:color w:val="55565B"/>
        <w:sz w:val="20"/>
      </w:rPr>
      <w:t>aux arpentages et aux plans (ISP)</w:t>
    </w:r>
    <w:r w:rsidR="009211DD">
      <w:rPr>
        <w:rFonts w:ascii="Open Sans" w:hAnsi="Open Sans"/>
        <w:color w:val="55565B"/>
        <w:sz w:val="20"/>
      </w:rPr>
      <w:t xml:space="preserve"> </w:t>
    </w:r>
    <w:r>
      <w:rPr>
        <w:rFonts w:ascii="Open Sans" w:hAnsi="Open Sans"/>
        <w:color w:val="55565B"/>
        <w:sz w:val="20"/>
      </w:rPr>
      <w:t xml:space="preserve">et à la </w:t>
    </w:r>
    <w:r>
      <w:rPr>
        <w:rFonts w:ascii="Open Sans" w:hAnsi="Open Sans"/>
        <w:i/>
        <w:color w:val="55565B"/>
        <w:sz w:val="20"/>
      </w:rPr>
      <w:t>Loi sur les biens réels.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EF00" w14:textId="755DEDD2" w:rsidR="00163AB0" w:rsidRPr="00F20B33" w:rsidRDefault="00163AB0">
    <w:pPr>
      <w:jc w:val="center"/>
    </w:pPr>
    <w:r>
      <w:rPr>
        <w:rFonts w:ascii="Open Sans" w:hAnsi="Open Sans"/>
        <w:color w:val="55565B"/>
        <w:sz w:val="20"/>
      </w:rPr>
      <w:t xml:space="preserve">Les plans doivent être conformes aux ISP et à la </w:t>
    </w:r>
    <w:r>
      <w:rPr>
        <w:rFonts w:ascii="Open Sans" w:hAnsi="Open Sans"/>
        <w:i/>
        <w:color w:val="55565B"/>
        <w:sz w:val="20"/>
      </w:rPr>
      <w:t>Loi sur les biens réels.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4CC1" w14:textId="77777777" w:rsidR="004D6DCE" w:rsidRDefault="004D6DCE">
      <w:pPr>
        <w:spacing w:after="0" w:line="240" w:lineRule="auto"/>
      </w:pPr>
      <w:r>
        <w:rPr>
          <w:color w:val="000000"/>
        </w:rPr>
        <w:separator/>
      </w:r>
    </w:p>
  </w:footnote>
  <w:footnote w:type="continuationSeparator" w:id="0">
    <w:p w14:paraId="41EF3486" w14:textId="77777777" w:rsidR="004D6DCE" w:rsidRDefault="004D6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DE02" w14:textId="77777777" w:rsidR="00163AB0" w:rsidRDefault="00163AB0">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2D0"/>
    <w:multiLevelType w:val="multilevel"/>
    <w:tmpl w:val="1EFE63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0BB1868"/>
    <w:multiLevelType w:val="multilevel"/>
    <w:tmpl w:val="00924BE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6305E7C"/>
    <w:multiLevelType w:val="multilevel"/>
    <w:tmpl w:val="81FCFF6C"/>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79F5572"/>
    <w:multiLevelType w:val="multilevel"/>
    <w:tmpl w:val="9698C7C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BB357B2"/>
    <w:multiLevelType w:val="multilevel"/>
    <w:tmpl w:val="2F2C185C"/>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365248A"/>
    <w:multiLevelType w:val="multilevel"/>
    <w:tmpl w:val="41C8EA1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C8E6DE5"/>
    <w:multiLevelType w:val="multilevel"/>
    <w:tmpl w:val="3F586BF8"/>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0A431D4"/>
    <w:multiLevelType w:val="multilevel"/>
    <w:tmpl w:val="87960B36"/>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6E93E53"/>
    <w:multiLevelType w:val="multilevel"/>
    <w:tmpl w:val="6D9C779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7D63FD5"/>
    <w:multiLevelType w:val="multilevel"/>
    <w:tmpl w:val="1DB066C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0BC209D"/>
    <w:multiLevelType w:val="multilevel"/>
    <w:tmpl w:val="453A569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E7246D"/>
    <w:multiLevelType w:val="multilevel"/>
    <w:tmpl w:val="5A586DF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4BC32F38"/>
    <w:multiLevelType w:val="multilevel"/>
    <w:tmpl w:val="170EC1E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13A72A3"/>
    <w:multiLevelType w:val="multilevel"/>
    <w:tmpl w:val="5FDC09E6"/>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2920189"/>
    <w:multiLevelType w:val="hybridMultilevel"/>
    <w:tmpl w:val="3D6240B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8213803"/>
    <w:multiLevelType w:val="multilevel"/>
    <w:tmpl w:val="0FD2578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D77381"/>
    <w:multiLevelType w:val="multilevel"/>
    <w:tmpl w:val="CEB48B6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61C92E4F"/>
    <w:multiLevelType w:val="multilevel"/>
    <w:tmpl w:val="81E8328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31564DE"/>
    <w:multiLevelType w:val="hybridMultilevel"/>
    <w:tmpl w:val="2584B5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A1731A7"/>
    <w:multiLevelType w:val="multilevel"/>
    <w:tmpl w:val="2EE4621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E1A1FB9"/>
    <w:multiLevelType w:val="multilevel"/>
    <w:tmpl w:val="A386DE72"/>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2020C74"/>
    <w:multiLevelType w:val="multilevel"/>
    <w:tmpl w:val="060C7E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756E5759"/>
    <w:multiLevelType w:val="multilevel"/>
    <w:tmpl w:val="3A1E070E"/>
    <w:lvl w:ilvl="0">
      <w:numFmt w:val="bullet"/>
      <w:lvlText w:val="o"/>
      <w:lvlJc w:val="left"/>
      <w:pPr>
        <w:ind w:left="720" w:hanging="360"/>
      </w:pPr>
      <w:rPr>
        <w:rFonts w:ascii="Courier New" w:hAnsi="Courier New" w:cs="Courier New"/>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083FC4"/>
    <w:multiLevelType w:val="multilevel"/>
    <w:tmpl w:val="46B4E604"/>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7B3B5E81"/>
    <w:multiLevelType w:val="multilevel"/>
    <w:tmpl w:val="8B7A6238"/>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447093608">
    <w:abstractNumId w:val="21"/>
  </w:num>
  <w:num w:numId="2" w16cid:durableId="47533521">
    <w:abstractNumId w:val="15"/>
  </w:num>
  <w:num w:numId="3" w16cid:durableId="1687057302">
    <w:abstractNumId w:val="22"/>
  </w:num>
  <w:num w:numId="4" w16cid:durableId="3368330">
    <w:abstractNumId w:val="17"/>
  </w:num>
  <w:num w:numId="5" w16cid:durableId="2065449368">
    <w:abstractNumId w:val="20"/>
  </w:num>
  <w:num w:numId="6" w16cid:durableId="2001929164">
    <w:abstractNumId w:val="10"/>
  </w:num>
  <w:num w:numId="7" w16cid:durableId="1333337559">
    <w:abstractNumId w:val="16"/>
  </w:num>
  <w:num w:numId="8" w16cid:durableId="262106685">
    <w:abstractNumId w:val="3"/>
  </w:num>
  <w:num w:numId="9" w16cid:durableId="1417944957">
    <w:abstractNumId w:val="11"/>
  </w:num>
  <w:num w:numId="10" w16cid:durableId="1945532281">
    <w:abstractNumId w:val="19"/>
  </w:num>
  <w:num w:numId="11" w16cid:durableId="776020582">
    <w:abstractNumId w:val="6"/>
  </w:num>
  <w:num w:numId="12" w16cid:durableId="363990035">
    <w:abstractNumId w:val="7"/>
  </w:num>
  <w:num w:numId="13" w16cid:durableId="798038396">
    <w:abstractNumId w:val="2"/>
  </w:num>
  <w:num w:numId="14" w16cid:durableId="1478763982">
    <w:abstractNumId w:val="1"/>
  </w:num>
  <w:num w:numId="15" w16cid:durableId="1943026483">
    <w:abstractNumId w:val="4"/>
  </w:num>
  <w:num w:numId="16" w16cid:durableId="380516280">
    <w:abstractNumId w:val="9"/>
  </w:num>
  <w:num w:numId="17" w16cid:durableId="341590575">
    <w:abstractNumId w:val="23"/>
  </w:num>
  <w:num w:numId="18" w16cid:durableId="2068869462">
    <w:abstractNumId w:val="13"/>
  </w:num>
  <w:num w:numId="19" w16cid:durableId="1858155776">
    <w:abstractNumId w:val="8"/>
  </w:num>
  <w:num w:numId="20" w16cid:durableId="1814715401">
    <w:abstractNumId w:val="12"/>
  </w:num>
  <w:num w:numId="21" w16cid:durableId="751856943">
    <w:abstractNumId w:val="24"/>
  </w:num>
  <w:num w:numId="22" w16cid:durableId="183254943">
    <w:abstractNumId w:val="5"/>
  </w:num>
  <w:num w:numId="23" w16cid:durableId="492070415">
    <w:abstractNumId w:val="0"/>
  </w:num>
  <w:num w:numId="24" w16cid:durableId="1550410113">
    <w:abstractNumId w:val="18"/>
  </w:num>
  <w:num w:numId="25" w16cid:durableId="2003580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F2"/>
    <w:rsid w:val="00015A7E"/>
    <w:rsid w:val="000A0A19"/>
    <w:rsid w:val="000A29CD"/>
    <w:rsid w:val="000B04B7"/>
    <w:rsid w:val="000C720A"/>
    <w:rsid w:val="0013290D"/>
    <w:rsid w:val="0014742F"/>
    <w:rsid w:val="00163AB0"/>
    <w:rsid w:val="001A7940"/>
    <w:rsid w:val="001F6C0B"/>
    <w:rsid w:val="00207A32"/>
    <w:rsid w:val="0023023F"/>
    <w:rsid w:val="002B06F2"/>
    <w:rsid w:val="0041718A"/>
    <w:rsid w:val="0043718C"/>
    <w:rsid w:val="00465702"/>
    <w:rsid w:val="004D6DCE"/>
    <w:rsid w:val="00550C32"/>
    <w:rsid w:val="00595937"/>
    <w:rsid w:val="0060191A"/>
    <w:rsid w:val="006043B3"/>
    <w:rsid w:val="006457D0"/>
    <w:rsid w:val="006976D0"/>
    <w:rsid w:val="006C6BE5"/>
    <w:rsid w:val="0070200D"/>
    <w:rsid w:val="007332A8"/>
    <w:rsid w:val="0075548C"/>
    <w:rsid w:val="00780680"/>
    <w:rsid w:val="007F4177"/>
    <w:rsid w:val="00857411"/>
    <w:rsid w:val="008A0C5B"/>
    <w:rsid w:val="008E0E94"/>
    <w:rsid w:val="009211DD"/>
    <w:rsid w:val="00927B86"/>
    <w:rsid w:val="00945DBB"/>
    <w:rsid w:val="00951B5D"/>
    <w:rsid w:val="009533FD"/>
    <w:rsid w:val="009A145F"/>
    <w:rsid w:val="00A30DE0"/>
    <w:rsid w:val="00A549DA"/>
    <w:rsid w:val="00A914F2"/>
    <w:rsid w:val="00A96BD5"/>
    <w:rsid w:val="00AD62E9"/>
    <w:rsid w:val="00BB1B23"/>
    <w:rsid w:val="00BC74A9"/>
    <w:rsid w:val="00C77511"/>
    <w:rsid w:val="00CF4234"/>
    <w:rsid w:val="00D0597C"/>
    <w:rsid w:val="00D15AA7"/>
    <w:rsid w:val="00D656F5"/>
    <w:rsid w:val="00E979E5"/>
    <w:rsid w:val="00EE6BD5"/>
    <w:rsid w:val="00F20B33"/>
    <w:rsid w:val="00F94B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8559"/>
  <w15:docId w15:val="{8DE39AF2-8903-4708-9687-17127586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fr-CA"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Spacing">
    <w:name w:val="No Spacing"/>
    <w:pPr>
      <w:suppressAutoHyphens/>
      <w:spacing w:after="0" w:line="240" w:lineRule="auto"/>
    </w:pPr>
  </w:style>
  <w:style w:type="paragraph" w:styleId="Revision">
    <w:name w:val="Revision"/>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Mention">
    <w:name w:val="Mention"/>
    <w:basedOn w:val="DefaultParagraphFont"/>
    <w:rPr>
      <w:color w:val="2B579A"/>
      <w:shd w:val="clear" w:color="auto" w:fill="E1DFDD"/>
    </w:rPr>
  </w:style>
  <w:style w:type="table" w:styleId="TableGrid">
    <w:name w:val="Table Grid"/>
    <w:basedOn w:val="TableNormal"/>
    <w:uiPriority w:val="39"/>
    <w:rsid w:val="00AD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32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anetmanitoba.c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ranetmanitoba.ca/fr/titres-fonciers/ressources-de-formation-en-titres-fonci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Teranet Manitoba</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Hlady</dc:creator>
  <dc:description/>
  <cp:lastModifiedBy>Graham Schellenberg</cp:lastModifiedBy>
  <cp:revision>28</cp:revision>
  <cp:lastPrinted>2025-09-25T14:46:00Z</cp:lastPrinted>
  <dcterms:created xsi:type="dcterms:W3CDTF">2025-09-17T14:35:00Z</dcterms:created>
  <dcterms:modified xsi:type="dcterms:W3CDTF">2025-09-26T17:59:00Z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0x01010080DFB083E9273C4D8BA9CB57FD8EE1C0</vt:lpwstr>
  </property>
  <property fmtid="{D5CDD505-2E9C-101B-9397-08002B2CF9AE}" pid="3" name="MediaServiceImageTags">
    <vt:lpwstr/>
  </property>
</Properties>
</file>